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right="284"/>
      </w:pPr>
      <w:r>
        <w:rPr>
          <w:rStyle w:val="Egyik sem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547369</wp:posOffset>
                </wp:positionH>
                <wp:positionV relativeFrom="line">
                  <wp:posOffset>110489</wp:posOffset>
                </wp:positionV>
                <wp:extent cx="1039495" cy="882014"/>
                <wp:effectExtent l="0" t="0" r="0" b="0"/>
                <wp:wrapTopAndBottom distT="152400" distB="152400"/>
                <wp:docPr id="1073741825" name="officeArt object" descr="Négyszö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88201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.1pt;margin-top:8.7pt;width:81.8pt;height:69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Style w:val="Egyik sem"/>
        </w:rPr>
        <w:drawing xmlns:a="http://schemas.openxmlformats.org/drawingml/2006/main">
          <wp:inline distT="0" distB="0" distL="0" distR="0">
            <wp:extent cx="629920" cy="664210"/>
            <wp:effectExtent l="0" t="0" r="0" b="0"/>
            <wp:docPr id="1073741826" name="officeArt object" descr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ép 1" descr="Kép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64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pBdr>
          <w:top w:val="nil"/>
          <w:left w:val="nil"/>
          <w:bottom w:val="single" w:color="000000" w:sz="2" w:space="0" w:shadow="0" w:frame="0"/>
          <w:right w:val="nil"/>
        </w:pBdr>
        <w:ind w:right="284"/>
        <w:jc w:val="center"/>
        <w:rPr>
          <w:rStyle w:val="Egyik sem"/>
          <w:b w:val="1"/>
          <w:bCs w:val="1"/>
          <w:caps w:val="1"/>
          <w:sz w:val="20"/>
          <w:szCs w:val="20"/>
        </w:rPr>
      </w:pPr>
      <w:r>
        <w:rPr>
          <w:rStyle w:val="Egyik sem"/>
          <w:b w:val="1"/>
          <w:bCs w:val="1"/>
          <w:caps w:val="1"/>
          <w:sz w:val="20"/>
          <w:szCs w:val="20"/>
          <w:rtl w:val="0"/>
          <w:lang w:val="en-US"/>
        </w:rPr>
        <w:t>Wesley J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Egyik sem"/>
          <w:b w:val="1"/>
          <w:bCs w:val="1"/>
          <w:caps w:val="1"/>
          <w:sz w:val="20"/>
          <w:szCs w:val="20"/>
          <w:rtl w:val="0"/>
          <w:lang w:val="pt-PT"/>
        </w:rPr>
        <w:t>nos Lelk</w:t>
      </w:r>
      <w:r>
        <w:rPr>
          <w:rStyle w:val="Egyik sem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szk</w:t>
      </w:r>
      <w:r>
        <w:rPr>
          <w:rStyle w:val="Egyik sem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pz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 xml:space="preserve">ő 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F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ő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 xml:space="preserve">iskola </w:t>
      </w:r>
    </w:p>
    <w:p>
      <w:pPr>
        <w:pStyle w:val="heading 4"/>
        <w:jc w:val="center"/>
        <w:rPr>
          <w:rStyle w:val="Egyik sem"/>
          <w:caps w:val="1"/>
          <w:sz w:val="20"/>
          <w:szCs w:val="20"/>
        </w:rPr>
      </w:pPr>
      <w:r>
        <w:rPr>
          <w:rStyle w:val="Egyik sem"/>
          <w:caps w:val="1"/>
          <w:sz w:val="20"/>
          <w:szCs w:val="20"/>
          <w:rtl w:val="0"/>
        </w:rPr>
        <w:t>szoci</w:t>
      </w:r>
      <w:r>
        <w:rPr>
          <w:rStyle w:val="Egyik sem"/>
          <w:caps w:val="1"/>
          <w:sz w:val="20"/>
          <w:szCs w:val="20"/>
          <w:rtl w:val="0"/>
        </w:rPr>
        <w:t>á</w:t>
      </w:r>
      <w:r>
        <w:rPr>
          <w:rStyle w:val="Egyik sem"/>
          <w:caps w:val="1"/>
          <w:sz w:val="20"/>
          <w:szCs w:val="20"/>
          <w:rtl w:val="0"/>
        </w:rPr>
        <w:t>lis muinka szak</w:t>
      </w:r>
    </w:p>
    <w:p>
      <w:pPr>
        <w:pStyle w:val="Normal.0"/>
      </w:pPr>
    </w:p>
    <w:p>
      <w:pPr>
        <w:pStyle w:val="Normal.0"/>
      </w:pPr>
    </w:p>
    <w:tbl>
      <w:tblPr>
        <w:tblW w:w="921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2880"/>
        <w:gridCol w:w="1628"/>
        <w:gridCol w:w="2254"/>
      </w:tblGrid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24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6762"/>
            <w:gridSpan w:val="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SMAK405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elnevez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se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Szoci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lis munka m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dszertana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oktat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nak neve</w:t>
            </w:r>
          </w:p>
        </w:tc>
        <w:tc>
          <w:tcPr>
            <w:tcW w:type="dxa" w:w="2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rcsevity-Hajd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Bea</w:t>
            </w:r>
          </w:p>
        </w:tc>
        <w:tc>
          <w:tcPr>
            <w:tcW w:type="dxa" w:w="1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Beoszt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sa, tudom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nyos fokozata</w:t>
            </w:r>
          </w:p>
        </w:tc>
        <w:tc>
          <w:tcPr>
            <w:tcW w:type="dxa" w:w="2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rtl w:val="0"/>
              </w:rPr>
              <w:t>ó</w:t>
            </w:r>
            <w:r>
              <w:rPr>
                <w:rStyle w:val="Egyik sem"/>
                <w:b w:val="1"/>
                <w:bCs w:val="1"/>
                <w:rtl w:val="0"/>
              </w:rPr>
              <w:t>raad</w:t>
            </w:r>
            <w:r>
              <w:rPr>
                <w:rStyle w:val="Egyik sem"/>
                <w:b w:val="1"/>
                <w:bCs w:val="1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rtl w:val="0"/>
              </w:rPr>
              <w:t>tan</w:t>
            </w:r>
            <w:r>
              <w:rPr>
                <w:rStyle w:val="Egyik sem"/>
                <w:b w:val="1"/>
                <w:bCs w:val="1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rtl w:val="0"/>
              </w:rPr>
              <w:t>r (</w:t>
            </w:r>
            <w:r>
              <w:rPr>
                <w:rStyle w:val="Egyik sem"/>
                <w:b w:val="1"/>
                <w:bCs w:val="1"/>
                <w:rtl w:val="0"/>
              </w:rPr>
              <w:t>MA)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rgy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ma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nappali tagozaton 30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 h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levelez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tagozaton 16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ra/f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v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 t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pusa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</w:rPr>
              <w:t>Meghirdet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it-IT"/>
              </w:rPr>
              <w:t>si id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szak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tavaszi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de-DE"/>
              </w:rPr>
              <w:t>Kreditsz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3 kredit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pt-PT"/>
              </w:rPr>
              <w:t>A 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c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lja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shd w:val="nil" w:color="auto" w:fill="auto"/>
                <w:rtl w:val="0"/>
                <w:lang w:val="es-ES_tradnl"/>
              </w:rPr>
              <w:t>A tant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rgy c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lja, hogy a hallgat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k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tfog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pet kapjanak a szoci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lis munka jelenleg haszn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latos m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dszereinek sokf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les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ő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l,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 megtanulj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 azokat 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ö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nb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ö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z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ő 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gazatokban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 c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lcsoportokkal alkalmazni. A kurzus fejleszti a hallgat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 gyakorlati 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szs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geit, reflex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v gondolkod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t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 probl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mamegold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ó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kompetenci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it, ez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ltal felk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sz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ti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ő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ket arra, hogy seg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ő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i tev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kenys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ket hat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 xml:space="preserve">konyabban 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s tudatosabban v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gezz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k.</w:t>
            </w:r>
          </w:p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es-ES_tradnl"/>
              </w:rPr>
              <w:t>ges el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tanulm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nyok, felt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telezett tud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sanyag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SMAK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111, SMAK211</w:t>
            </w:r>
          </w:p>
        </w:tc>
      </w:tr>
      <w:tr>
        <w:tblPrEx>
          <w:shd w:val="clear" w:color="auto" w:fill="ced7e7"/>
        </w:tblPrEx>
        <w:trPr>
          <w:trHeight w:val="60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le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</w:pP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pt-PT"/>
              </w:rPr>
              <w:t>A tant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rgy a 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munka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dszertani alapjaival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gazati alkalmaz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saival foglalkozik.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zponti 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ja a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 fogalm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nak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rtelmez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se, a szakma saj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toss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gainak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de-DE"/>
              </w:rPr>
              <w:t>s hat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rainak vizsg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lata, valamint a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dszerekhez kapcsol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dilemm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 felt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sa. A kurzus bemutatja a 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munka h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rom hagyom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nyos form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t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egy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>ni seg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s, csoportmunka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gi munka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valamint azok kritik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t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tov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bbfejl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t. A hallgat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 megismerkednek a modern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dszerek sz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fr-FR"/>
              </w:rPr>
              <w:t>les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vel (szoci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tan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csad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>s, nondirekt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v ter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pia, multiperspektivikus esetkezel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en-US"/>
              </w:rPr>
              <w:t>s, case management, medi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, rekonstrukt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v 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munka; csoportmunk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ban szabadid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-pedag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>gia, 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en-US"/>
              </w:rPr>
              <w:t>mak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zpont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interakci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, ifj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gi lak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gek;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gi szinten empowerment, csal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da-DK"/>
              </w:rPr>
              <w:t>dter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pia, utcai 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munka), valamint a szakm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 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dszerekkel, mint a szuperv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>nellen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s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szoci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lis menedzsment.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A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dszerek bemutat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sa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gazati keretekben 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rt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nik: gyermek-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ifj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gv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delem, eg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szs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gy, id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sell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s, hajl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ktalanell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s, szenved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lybeteg-ell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s, fogyat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kkal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 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mogat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it-IT"/>
              </w:rPr>
              <w:t>sa, migr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, roma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gek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k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gfejleszt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  <w:lang w:val="pt-PT"/>
              </w:rPr>
              <w:t>s. A tant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rgy gyakorlati feladatokkal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esettanulm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nyokkal fejleszti a hallgat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k m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dszertani tud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 xml:space="preserve">t 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 beavatkoz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si kompetenci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j</w:t>
            </w:r>
            <w:r>
              <w:rPr>
                <w:rStyle w:val="Egyik sem"/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rFonts w:ascii="Times New Roman" w:hAnsi="Times New Roman"/>
                <w:shd w:val="nil" w:color="auto" w:fill="auto"/>
                <w:rtl w:val="0"/>
              </w:rPr>
              <w:t>t.</w:t>
            </w:r>
          </w:p>
        </w:tc>
      </w:tr>
      <w:tr>
        <w:tblPrEx>
          <w:shd w:val="clear" w:color="auto" w:fill="ced7e7"/>
        </w:tblPrEx>
        <w:trPr>
          <w:trHeight w:val="925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telez</w:t>
            </w:r>
            <w:r>
              <w:rPr>
                <w:rStyle w:val="Egyik sem"/>
                <w:shd w:val="nil" w:color="auto" w:fill="auto"/>
                <w:rtl w:val="0"/>
              </w:rPr>
              <w:t>ő é</w:t>
            </w:r>
            <w:r>
              <w:rPr>
                <w:rStyle w:val="Egyik sem"/>
                <w:shd w:val="nil" w:color="auto" w:fill="auto"/>
                <w:rtl w:val="0"/>
              </w:rPr>
              <w:t>s aj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nlott irodalom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Temesv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ry, Zs. (szerk.) (2019):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A szoci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 xml:space="preserve">lis munka gyakorlata 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 kutat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sa a 21. sz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 xml:space="preserve">zadban 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 xml:space="preserve">–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v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logat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 a nemzetk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zi szakirodalomb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l. Sz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veggy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ű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jtem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ny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  <w:lang w:val="en-US"/>
              </w:rPr>
              <w:t>. Wesley J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  <w:lang w:val="pt-PT"/>
              </w:rPr>
              <w:t>nos Lelk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szk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pz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 xml:space="preserve">ő 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F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ő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iskola,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Payne, M. (2020): </w:t>
            </w:r>
            <w:r>
              <w:rPr>
                <w:rFonts w:ascii="Times Roman" w:hAnsi="Times Roman"/>
                <w:i w:val="1"/>
                <w:iCs w:val="1"/>
                <w:rtl w:val="0"/>
                <w:lang w:val="en-US"/>
              </w:rPr>
              <w:t>How to Use Social Work Theory in Practice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. Policy Press, Bristol.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Fonts w:ascii="Times Roman" w:cs="Times Roman" w:hAnsi="Times Roman" w:eastAsia="Times Roman"/>
              </w:rPr>
            </w:pPr>
            <w:r>
              <w:rPr>
                <w:rFonts w:ascii="Times Roman" w:hAnsi="Times Roman"/>
                <w:rtl w:val="0"/>
              </w:rPr>
              <w:t xml:space="preserve">Payne, M. (2014): 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  <w:lang w:val="en-US"/>
              </w:rPr>
              <w:t>Modern Social Work Theory</w:t>
            </w:r>
            <w:r>
              <w:rPr>
                <w:rFonts w:ascii="Times Roman" w:hAnsi="Times Roman"/>
                <w:rtl w:val="0"/>
                <w:lang w:val="en-US"/>
              </w:rPr>
              <w:t xml:space="preserve"> (4th edition). Palgrave Macmillan, Basingstoke.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Fonts w:ascii="Times Roman" w:cs="Times Roman" w:hAnsi="Times Roman" w:eastAsia="Times Roman"/>
              </w:rPr>
            </w:pPr>
            <w:r>
              <w:rPr>
                <w:rFonts w:ascii="Times Roman" w:hAnsi="Times Roman"/>
                <w:rtl w:val="0"/>
              </w:rPr>
              <w:t xml:space="preserve">Galuske, M. (2019): 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lis munka 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dszerei</w:t>
            </w:r>
            <w:r>
              <w:rPr>
                <w:rFonts w:ascii="Times Roman" w:hAnsi="Times Roman"/>
                <w:rtl w:val="0"/>
              </w:rPr>
              <w:t>. L</w:t>
            </w:r>
            <w:r>
              <w:rPr>
                <w:rFonts w:ascii="Times Roman" w:hAnsi="Times Roman" w:hint="default"/>
                <w:rtl w:val="1"/>
              </w:rPr>
              <w:t>’</w:t>
            </w:r>
            <w:r>
              <w:rPr>
                <w:rFonts w:ascii="Times Roman" w:hAnsi="Times Roman"/>
                <w:rtl w:val="0"/>
              </w:rPr>
              <w:t>Harmattan, Budapest. ISBN 9789634144212.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Dr. Harday I. (szerk.) (1996):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A szem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  <w:lang w:val="da-DK"/>
              </w:rPr>
              <w:t>lyk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zpont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 xml:space="preserve">ú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megk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zel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í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t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 elm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 xml:space="preserve">lete 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 alkalmaz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  <w:lang w:val="pt-PT"/>
              </w:rPr>
              <w:t>sa a seg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í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 xml:space="preserve">ő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szakm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ban. Sz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veggy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ű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jtem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ny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. B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rczi Guszt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v Gy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gypedag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giai Tan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rk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pz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 xml:space="preserve">ő 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F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ő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iskola,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Lovas Zs. 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 xml:space="preserve">– 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Herczog M. (1999): 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Medi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ci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, avagy a f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jdalommentes konfliktuskezel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. M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ú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zs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k Kiad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  <w:lang w:val="en-US"/>
              </w:rPr>
              <w:t xml:space="preserve">Trevithick, P. (2012): </w:t>
            </w:r>
            <w:r>
              <w:rPr>
                <w:rFonts w:ascii="Times Roman" w:hAnsi="Times Roman"/>
                <w:i w:val="1"/>
                <w:iCs w:val="1"/>
                <w:rtl w:val="0"/>
                <w:lang w:val="en-US"/>
              </w:rPr>
              <w:t>Social Work Skills and Knowledge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  <w:lang w:val="de-DE"/>
              </w:rPr>
              <w:t>. Open University Press.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  <w:rPr>
                <w:rStyle w:val="Egyik sem"/>
                <w:rFonts w:ascii="Times Roman" w:cs="Times Roman" w:hAnsi="Times Roman" w:eastAsia="Times Roman"/>
                <w:i w:val="0"/>
                <w:iCs w:val="0"/>
              </w:rPr>
            </w:pP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Fonts w:ascii="Times Roman" w:cs="Times Roman" w:hAnsi="Times Roman" w:eastAsia="Times Roman"/>
              </w:rPr>
            </w:pPr>
            <w:r>
              <w:rPr>
                <w:rFonts w:ascii="Times Roman" w:hAnsi="Times Roman"/>
                <w:rtl w:val="0"/>
              </w:rPr>
              <w:t>Goj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k Katalin </w:t>
            </w:r>
            <w:r>
              <w:rPr>
                <w:rFonts w:ascii="Times Roman" w:hAnsi="Times Roman" w:hint="default"/>
                <w:rtl w:val="0"/>
              </w:rPr>
              <w:t xml:space="preserve">– </w:t>
            </w:r>
            <w:r>
              <w:rPr>
                <w:rFonts w:ascii="Times Roman" w:hAnsi="Times Roman"/>
                <w:rtl w:val="0"/>
              </w:rPr>
              <w:t>Szilv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si L</w:t>
            </w:r>
            <w:r>
              <w:rPr>
                <w:rFonts w:ascii="Times Roman" w:hAnsi="Times Roman" w:hint="default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rtl w:val="0"/>
              </w:rPr>
              <w:t xml:space="preserve">na (szerk.) (2014): 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  <w:lang w:val="nl-NL"/>
              </w:rPr>
              <w:t>Kort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rs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letek</w:t>
            </w:r>
            <w:r>
              <w:rPr>
                <w:rFonts w:ascii="Times Roman" w:hAnsi="Times Roman"/>
                <w:rtl w:val="0"/>
                <w:lang w:val="de-DE"/>
              </w:rPr>
              <w:t>. ELTE E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tv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s Kiad</w:t>
            </w:r>
            <w:r>
              <w:rPr>
                <w:rFonts w:ascii="Times Roman" w:hAnsi="Times Roman" w:hint="default"/>
                <w:rtl w:val="0"/>
                <w:lang w:val="es-ES_tradnl"/>
              </w:rPr>
              <w:t>ó</w:t>
            </w:r>
            <w:r>
              <w:rPr>
                <w:rFonts w:ascii="Times Roman" w:hAnsi="Times Roman"/>
                <w:rtl w:val="0"/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after="240" w:line="240" w:lineRule="auto"/>
              <w:jc w:val="left"/>
              <w:rPr>
                <w:rFonts w:ascii="Times Roman" w:cs="Times Roman" w:hAnsi="Times Roman" w:eastAsia="Times Roman"/>
              </w:rPr>
            </w:pPr>
            <w:r>
              <w:rPr>
                <w:rFonts w:ascii="Times Roman" w:hAnsi="Times Roman"/>
                <w:rtl w:val="0"/>
              </w:rPr>
              <w:t>Hegyesi G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bor </w:t>
            </w:r>
            <w:r>
              <w:rPr>
                <w:rFonts w:ascii="Times Roman" w:hAnsi="Times Roman" w:hint="default"/>
                <w:rtl w:val="0"/>
              </w:rPr>
              <w:t xml:space="preserve">– </w:t>
            </w:r>
            <w:r>
              <w:rPr>
                <w:rFonts w:ascii="Times Roman" w:hAnsi="Times Roman"/>
                <w:rtl w:val="0"/>
              </w:rPr>
              <w:t>Talyig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s Katalin (szerk.) (2001): 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Tereptan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í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t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s 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lis munk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rtl w:val="0"/>
              </w:rPr>
              <w:t>ban</w:t>
            </w:r>
            <w:r>
              <w:rPr>
                <w:rFonts w:ascii="Times Roman" w:hAnsi="Times Roman"/>
                <w:rtl w:val="0"/>
              </w:rPr>
              <w:t>. ELTE Szoci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lis Munka </w:t>
            </w:r>
            <w:r>
              <w:rPr>
                <w:rFonts w:ascii="Times Roman" w:hAnsi="Times Roman" w:hint="default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rtl w:val="0"/>
              </w:rPr>
              <w:t>s Szoci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lpolitika Tansz</w:t>
            </w:r>
            <w:r>
              <w:rPr>
                <w:rFonts w:ascii="Times Roman" w:hAnsi="Times Roman" w:hint="default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rtl w:val="0"/>
              </w:rPr>
              <w:t>k,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</w:pP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B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nyai Em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ő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 xml:space="preserve">ke (szerk.) (2009): </w:t>
            </w:r>
            <w:r>
              <w:rPr>
                <w:rFonts w:ascii="Times Roman" w:hAnsi="Times Roman"/>
                <w:i w:val="1"/>
                <w:iCs w:val="1"/>
                <w:rtl w:val="0"/>
                <w:lang w:val="nl-NL"/>
              </w:rPr>
              <w:t>Kort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rs szoci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lis munka-elm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letek, tereptan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í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t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á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s, szuperv</w:t>
            </w:r>
            <w:r>
              <w:rPr>
                <w:rFonts w:ascii="Times Roman" w:hAnsi="Times Roman" w:hint="default"/>
                <w:i w:val="1"/>
                <w:iCs w:val="1"/>
                <w:rtl w:val="0"/>
              </w:rPr>
              <w:t>í</w:t>
            </w:r>
            <w:r>
              <w:rPr>
                <w:rFonts w:ascii="Times Roman" w:hAnsi="Times Roman"/>
                <w:i w:val="1"/>
                <w:iCs w:val="1"/>
                <w:rtl w:val="0"/>
              </w:rPr>
              <w:t>zi</w:t>
            </w:r>
            <w:r>
              <w:rPr>
                <w:rFonts w:ascii="Times Roman" w:hAnsi="Times Roman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  <w:lang w:val="de-DE"/>
              </w:rPr>
              <w:t>. Hilscher Rezs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 xml:space="preserve">ő 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Szoci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á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lpolitikai Egyes</w:t>
            </w:r>
            <w:r>
              <w:rPr>
                <w:rStyle w:val="Egyik sem"/>
                <w:rFonts w:ascii="Times Roman" w:hAnsi="Times Roman" w:hint="default"/>
                <w:i w:val="0"/>
                <w:iCs w:val="0"/>
                <w:rtl w:val="0"/>
              </w:rPr>
              <w:t>ü</w:t>
            </w:r>
            <w:r>
              <w:rPr>
                <w:rStyle w:val="Egyik sem"/>
                <w:rFonts w:ascii="Times Roman" w:hAnsi="Times Roman"/>
                <w:i w:val="0"/>
                <w:iCs w:val="0"/>
                <w:rtl w:val="0"/>
              </w:rPr>
              <w:t>let, Budapest.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</w:rPr>
              <w:t>Ismeretek ellen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nek m</w:t>
            </w:r>
            <w:r>
              <w:rPr>
                <w:rStyle w:val="Egyik sem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beli vagy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sbeli vizsga</w:t>
            </w:r>
          </w:p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hd w:val="nil" w:color="auto" w:fill="auto"/>
                <w:rtl w:val="0"/>
                <w:lang w:val="it-IT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k</w:t>
            </w:r>
            <w:r>
              <w:rPr>
                <w:rStyle w:val="Egyik sem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vetelm</w:t>
            </w:r>
            <w:r>
              <w:rPr>
                <w:rStyle w:val="Egyik sem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nyei</w:t>
            </w:r>
          </w:p>
        </w:tc>
        <w:tc>
          <w:tcPr>
            <w:tcW w:type="dxa" w:w="6762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projektor, 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g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p</w:t>
            </w:r>
          </w:p>
        </w:tc>
      </w:tr>
    </w:tbl>
    <w:p>
      <w:pPr>
        <w:pStyle w:val="Normal.0"/>
        <w:widowControl w:val="0"/>
        <w:ind w:left="108" w:hanging="108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284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284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