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78876" w14:textId="70AEABF0" w:rsidR="00935EAF" w:rsidRPr="00935EAF" w:rsidRDefault="008C334C" w:rsidP="008B00C6">
      <w:pPr>
        <w:jc w:val="center"/>
        <w:rPr>
          <w:b/>
          <w:bCs/>
        </w:rPr>
      </w:pPr>
      <w:r w:rsidRPr="00935EAF">
        <w:rPr>
          <w:b/>
          <w:bCs/>
        </w:rPr>
        <w:t>C</w:t>
      </w:r>
      <w:r w:rsidR="008B00C6">
        <w:rPr>
          <w:b/>
          <w:bCs/>
        </w:rPr>
        <w:t>V</w:t>
      </w:r>
    </w:p>
    <w:p w14:paraId="768B0A67" w14:textId="7ABD9D18" w:rsidR="00935EAF" w:rsidRDefault="00935EAF" w:rsidP="00935EAF">
      <w:r>
        <w:t xml:space="preserve">The Wesley Research </w:t>
      </w:r>
      <w:r w:rsidR="00195195">
        <w:t>Centre</w:t>
      </w:r>
      <w:r>
        <w:t xml:space="preserve"> for the Sociology of Church and Religion (WRCSCR) The John Wesley Theological College</w:t>
      </w:r>
      <w:r w:rsidR="00971BFC">
        <w:t xml:space="preserve"> </w:t>
      </w:r>
      <w:r w:rsidR="00681271">
        <w:t>since 2008</w:t>
      </w:r>
    </w:p>
    <w:p w14:paraId="4F1B1537" w14:textId="59EDF89C" w:rsidR="00935EAF" w:rsidRDefault="00935EAF" w:rsidP="00935EAF">
      <w:r>
        <w:t>Self-employed Russian teacher and community translator/interpreter since 2008</w:t>
      </w:r>
    </w:p>
    <w:p w14:paraId="18F0B580" w14:textId="537E030C" w:rsidR="00057E6F" w:rsidRDefault="00057E6F" w:rsidP="00935EAF">
      <w:r>
        <w:t>Contact: emailpocsta(at)gmail.com</w:t>
      </w:r>
    </w:p>
    <w:p w14:paraId="047222B1" w14:textId="6A405233" w:rsidR="008B00C6" w:rsidRPr="008B00C6" w:rsidRDefault="008B00C6" w:rsidP="008B00C6">
      <w:pPr>
        <w:jc w:val="center"/>
        <w:rPr>
          <w:b/>
          <w:bCs/>
        </w:rPr>
      </w:pPr>
      <w:r w:rsidRPr="008B00C6">
        <w:rPr>
          <w:b/>
          <w:bCs/>
        </w:rPr>
        <w:t>Memberships</w:t>
      </w:r>
    </w:p>
    <w:p w14:paraId="58CAD4F3" w14:textId="5A61412F" w:rsidR="00935EAF" w:rsidRDefault="00C575B2">
      <w:r>
        <w:t xml:space="preserve">British Association for Slavonic and East European Studies </w:t>
      </w:r>
    </w:p>
    <w:p w14:paraId="59AACF09" w14:textId="14066EE9" w:rsidR="00C575B2" w:rsidRPr="00C575B2" w:rsidRDefault="00C575B2">
      <w:r>
        <w:t xml:space="preserve">Association for Slavic, East European, &amp; Eurasian Studies  </w:t>
      </w:r>
    </w:p>
    <w:p w14:paraId="771532F6" w14:textId="67093F7B" w:rsidR="008B00C6" w:rsidRDefault="008B00C6"/>
    <w:p w14:paraId="72D30A15" w14:textId="56703617" w:rsidR="00935EAF" w:rsidRPr="00971BFC" w:rsidRDefault="00935EAF" w:rsidP="00935EAF">
      <w:pPr>
        <w:jc w:val="center"/>
        <w:rPr>
          <w:b/>
          <w:bCs/>
        </w:rPr>
      </w:pPr>
      <w:r w:rsidRPr="00971BFC">
        <w:rPr>
          <w:b/>
          <w:bCs/>
        </w:rPr>
        <w:t>Publications</w:t>
      </w:r>
    </w:p>
    <w:p w14:paraId="3C0508C1" w14:textId="471AC933" w:rsidR="008C334C" w:rsidRDefault="008C334C">
      <w:r>
        <w:t>Title of Thesis</w:t>
      </w:r>
      <w:r w:rsidR="006F53BA">
        <w:t xml:space="preserve"> (PhD)</w:t>
      </w:r>
      <w:r>
        <w:t xml:space="preserve">: The Concept and Function of Point of View in Narration Theory (Vladimir Nabokov Camera Obscura and Andrej Platonov </w:t>
      </w:r>
      <w:r w:rsidR="006F092E">
        <w:rPr>
          <w:lang w:val="ru-RU"/>
        </w:rPr>
        <w:t>В</w:t>
      </w:r>
      <w:r w:rsidR="006F092E" w:rsidRPr="006F092E">
        <w:t xml:space="preserve"> </w:t>
      </w:r>
      <w:r w:rsidR="006F092E">
        <w:rPr>
          <w:lang w:val="ru-RU"/>
        </w:rPr>
        <w:t>прекрасном</w:t>
      </w:r>
      <w:r w:rsidR="006F092E" w:rsidRPr="006F092E">
        <w:t xml:space="preserve"> </w:t>
      </w:r>
      <w:r w:rsidR="006F092E">
        <w:rPr>
          <w:lang w:val="ru-RU"/>
        </w:rPr>
        <w:t>и</w:t>
      </w:r>
      <w:r w:rsidR="006F092E" w:rsidRPr="006F092E">
        <w:t xml:space="preserve"> </w:t>
      </w:r>
      <w:r w:rsidR="006F092E">
        <w:rPr>
          <w:lang w:val="ru-RU"/>
        </w:rPr>
        <w:t>яростном</w:t>
      </w:r>
      <w:r w:rsidR="006F092E" w:rsidRPr="006F092E">
        <w:t xml:space="preserve"> </w:t>
      </w:r>
      <w:r w:rsidR="006F092E">
        <w:rPr>
          <w:lang w:val="ru-RU"/>
        </w:rPr>
        <w:t>мире</w:t>
      </w:r>
      <w:r>
        <w:t>)</w:t>
      </w:r>
      <w:r w:rsidR="00C575B2">
        <w:t xml:space="preserve"> 2012</w:t>
      </w:r>
    </w:p>
    <w:p w14:paraId="1288D9C2" w14:textId="0ECA9555" w:rsidR="006F53BA" w:rsidRDefault="008C334C">
      <w:r>
        <w:t xml:space="preserve">Title of </w:t>
      </w:r>
      <w:r w:rsidR="00935EAF">
        <w:t>papers</w:t>
      </w:r>
      <w:r w:rsidR="006F53BA">
        <w:t xml:space="preserve"> (MA)</w:t>
      </w:r>
      <w:r>
        <w:t>: Joseph Brodsky’s “Twenty Sonnets on Mary, Queen of Scots”</w:t>
      </w:r>
      <w:r w:rsidR="00C575B2">
        <w:t xml:space="preserve"> 2000</w:t>
      </w:r>
    </w:p>
    <w:p w14:paraId="13A2C3E3" w14:textId="43B38B84" w:rsidR="008C334C" w:rsidRDefault="008C334C">
      <w:pPr>
        <w:rPr>
          <w:lang w:eastAsia="en-GB"/>
        </w:rPr>
      </w:pPr>
      <w:r w:rsidRPr="00A55343">
        <w:t>Trojan</w:t>
      </w:r>
      <w:r w:rsidR="006D5F41" w:rsidRPr="00A55343">
        <w:t xml:space="preserve"> </w:t>
      </w:r>
      <w:r w:rsidRPr="00A55343">
        <w:t>Anna</w:t>
      </w:r>
      <w:r w:rsidR="00016FB4" w:rsidRPr="00A55343">
        <w:t xml:space="preserve">, </w:t>
      </w:r>
      <w:r w:rsidRPr="00A55343">
        <w:t>The Failure to Cope with Socialist Realism in the Soviet Union of the 1930's (Andrej Platonov),</w:t>
      </w:r>
      <w:r w:rsidR="00437EE8" w:rsidRPr="00A55343">
        <w:t xml:space="preserve"> in </w:t>
      </w:r>
      <w:r w:rsidR="00437EE8" w:rsidRPr="00A55343">
        <w:rPr>
          <w:lang w:eastAsia="en-GB"/>
        </w:rPr>
        <w:t>Empires and Nations from the Eighteenth to the Twentieth Century, Volume 2</w:t>
      </w:r>
      <w:r w:rsidR="00B714A4">
        <w:rPr>
          <w:lang w:eastAsia="en-GB"/>
        </w:rPr>
        <w:t xml:space="preserve">, edited by </w:t>
      </w:r>
      <w:r w:rsidR="00B714A4" w:rsidRPr="00905A06">
        <w:t>Antonello Biagini</w:t>
      </w:r>
      <w:r w:rsidR="00B54F98">
        <w:t xml:space="preserve"> and Giovanna Motta</w:t>
      </w:r>
      <w:r w:rsidR="00CA4746">
        <w:rPr>
          <w:lang w:eastAsia="en-GB"/>
        </w:rPr>
        <w:t>,</w:t>
      </w:r>
      <w:r w:rsidR="00B3487C">
        <w:rPr>
          <w:lang w:eastAsia="en-GB"/>
        </w:rPr>
        <w:t xml:space="preserve"> Cambridge Scholars Publishing </w:t>
      </w:r>
      <w:r>
        <w:t>201</w:t>
      </w:r>
      <w:r w:rsidR="00B3487C">
        <w:t>4</w:t>
      </w:r>
      <w:r w:rsidR="00BF180F">
        <w:t>, 42</w:t>
      </w:r>
      <w:r w:rsidR="00DF77B0">
        <w:t>1</w:t>
      </w:r>
      <w:r w:rsidR="00BF180F">
        <w:t>-427</w:t>
      </w:r>
      <w:r>
        <w:t>.</w:t>
      </w:r>
    </w:p>
    <w:p w14:paraId="003195E5" w14:textId="77777777" w:rsidR="008C334C" w:rsidRDefault="008C334C">
      <w:r>
        <w:t xml:space="preserve">Troján Anna, A tragédia és az abszurd dráma határán, Szinház 2013/11, 36. </w:t>
      </w:r>
    </w:p>
    <w:p w14:paraId="60DEF885" w14:textId="77777777" w:rsidR="008C334C" w:rsidRDefault="008C334C">
      <w:pPr>
        <w:rPr>
          <w:lang w:val="hu-HU"/>
        </w:rPr>
      </w:pPr>
      <w:r w:rsidRPr="008C334C">
        <w:rPr>
          <w:lang w:val="ru-RU"/>
        </w:rPr>
        <w:t xml:space="preserve">Троян Анна, Южный крест или небольшие четыре звезды? (Несколько замечаний к произведению «Фрегат Паллада» И. А. Гончарова), </w:t>
      </w:r>
      <w:r>
        <w:t>in</w:t>
      </w:r>
      <w:r w:rsidRPr="008C334C">
        <w:rPr>
          <w:lang w:val="ru-RU"/>
        </w:rPr>
        <w:t xml:space="preserve">:Гончаров: живая перспектива прозы. Научные статьи о творчестве И. А. Гончарова, </w:t>
      </w:r>
      <w:r>
        <w:t>Bibliotheca</w:t>
      </w:r>
      <w:r w:rsidRPr="008C334C">
        <w:rPr>
          <w:lang w:val="ru-RU"/>
        </w:rPr>
        <w:t xml:space="preserve"> </w:t>
      </w:r>
      <w:r>
        <w:t>Slavica</w:t>
      </w:r>
      <w:r w:rsidRPr="008C334C">
        <w:rPr>
          <w:lang w:val="ru-RU"/>
        </w:rPr>
        <w:t xml:space="preserve"> </w:t>
      </w:r>
      <w:r>
        <w:t>Savariensis</w:t>
      </w:r>
      <w:r w:rsidRPr="008C334C">
        <w:rPr>
          <w:lang w:val="ru-RU"/>
        </w:rPr>
        <w:t xml:space="preserve"> </w:t>
      </w:r>
      <w:r>
        <w:t>XIII</w:t>
      </w:r>
      <w:r w:rsidRPr="008C334C">
        <w:rPr>
          <w:lang w:val="ru-RU"/>
        </w:rPr>
        <w:t xml:space="preserve">, </w:t>
      </w:r>
      <w:r>
        <w:t>Szombathely</w:t>
      </w:r>
      <w:r w:rsidRPr="008C334C">
        <w:rPr>
          <w:lang w:val="ru-RU"/>
        </w:rPr>
        <w:t xml:space="preserve"> 2013, 494-502. </w:t>
      </w:r>
    </w:p>
    <w:p w14:paraId="0A2F7909" w14:textId="77777777" w:rsidR="008C334C" w:rsidRDefault="008C334C">
      <w:pPr>
        <w:rPr>
          <w:lang w:val="hu-HU"/>
        </w:rPr>
      </w:pPr>
      <w:r w:rsidRPr="008C334C">
        <w:rPr>
          <w:lang w:val="hu-HU"/>
        </w:rPr>
        <w:t xml:space="preserve">Троян Анна, Примеры опосредования ценностей и эстетизации ошибок в романе Набокова «Камера обскура», in Revitalizace Hodnot: Umĕní a literatura, Tribun EU, Brno 2013, 445-453. </w:t>
      </w:r>
    </w:p>
    <w:p w14:paraId="59CEB53A" w14:textId="77777777" w:rsidR="008C334C" w:rsidRDefault="008C334C">
      <w:pPr>
        <w:rPr>
          <w:lang w:val="pl-PL"/>
        </w:rPr>
      </w:pPr>
      <w:r w:rsidRPr="008C334C">
        <w:rPr>
          <w:lang w:val="ru-RU"/>
        </w:rPr>
        <w:t xml:space="preserve">Троян Анна, Некоторые моменты отношения Я-Ты в рассказе Андрея Платонова В прекрасном и яростном мире, </w:t>
      </w:r>
      <w:r>
        <w:t>in</w:t>
      </w:r>
      <w:r w:rsidRPr="008C334C">
        <w:rPr>
          <w:lang w:val="ru-RU"/>
        </w:rPr>
        <w:t>: «Ż</w:t>
      </w:r>
      <w:r>
        <w:t>ycie</w:t>
      </w:r>
      <w:r w:rsidRPr="008C334C">
        <w:rPr>
          <w:lang w:val="ru-RU"/>
        </w:rPr>
        <w:t xml:space="preserve"> </w:t>
      </w:r>
      <w:r>
        <w:t>serca</w:t>
      </w:r>
      <w:r w:rsidRPr="008C334C">
        <w:rPr>
          <w:lang w:val="ru-RU"/>
        </w:rPr>
        <w:t xml:space="preserve">». </w:t>
      </w:r>
      <w:r w:rsidRPr="008C334C">
        <w:rPr>
          <w:lang w:val="pl-PL"/>
        </w:rPr>
        <w:t xml:space="preserve">Duch-dusza-ciało i relacja Ja- Ty w literaturze i kulturze rosyjskiej XX-XXI wiekuRossica Lublinensia VII, Lublin 2012, 405 413. </w:t>
      </w:r>
    </w:p>
    <w:p w14:paraId="5082A343" w14:textId="77777777" w:rsidR="008C334C" w:rsidRDefault="008C334C">
      <w:pPr>
        <w:rPr>
          <w:lang w:val="hu-HU"/>
        </w:rPr>
      </w:pPr>
      <w:r w:rsidRPr="008C334C">
        <w:rPr>
          <w:lang w:val="ru-RU"/>
        </w:rPr>
        <w:t xml:space="preserve">Троян Анна, Смена точки зрения в романе Владимира Набокова «Камера обскура».// </w:t>
      </w:r>
      <w:r>
        <w:t>Slavica</w:t>
      </w:r>
      <w:r w:rsidRPr="008C334C">
        <w:rPr>
          <w:lang w:val="ru-RU"/>
        </w:rPr>
        <w:t xml:space="preserve"> </w:t>
      </w:r>
      <w:r>
        <w:t>Xxxix</w:t>
      </w:r>
      <w:r w:rsidRPr="008C334C">
        <w:rPr>
          <w:lang w:val="ru-RU"/>
        </w:rPr>
        <w:t xml:space="preserve">, </w:t>
      </w:r>
      <w:r>
        <w:t>Annales</w:t>
      </w:r>
      <w:r w:rsidRPr="008C334C">
        <w:rPr>
          <w:lang w:val="ru-RU"/>
        </w:rPr>
        <w:t xml:space="preserve"> </w:t>
      </w:r>
      <w:r>
        <w:t>Instituti</w:t>
      </w:r>
      <w:r w:rsidRPr="008C334C">
        <w:rPr>
          <w:lang w:val="ru-RU"/>
        </w:rPr>
        <w:t xml:space="preserve"> </w:t>
      </w:r>
      <w:r>
        <w:t>Slavici</w:t>
      </w:r>
      <w:r w:rsidRPr="008C334C">
        <w:rPr>
          <w:lang w:val="ru-RU"/>
        </w:rPr>
        <w:t xml:space="preserve"> </w:t>
      </w:r>
      <w:r>
        <w:t>Universitatis</w:t>
      </w:r>
      <w:r w:rsidRPr="008C334C">
        <w:rPr>
          <w:lang w:val="ru-RU"/>
        </w:rPr>
        <w:t xml:space="preserve"> </w:t>
      </w:r>
      <w:r>
        <w:t>Debreceniensis</w:t>
      </w:r>
      <w:r w:rsidRPr="008C334C">
        <w:rPr>
          <w:lang w:val="ru-RU"/>
        </w:rPr>
        <w:t xml:space="preserve">, </w:t>
      </w:r>
      <w:r>
        <w:t>Debrecen</w:t>
      </w:r>
      <w:r w:rsidRPr="008C334C">
        <w:rPr>
          <w:lang w:val="ru-RU"/>
        </w:rPr>
        <w:t xml:space="preserve">, 295-307, 2011. </w:t>
      </w:r>
    </w:p>
    <w:p w14:paraId="1E3104DE" w14:textId="77777777" w:rsidR="008C334C" w:rsidRDefault="008C334C">
      <w:pPr>
        <w:rPr>
          <w:lang w:val="hu-HU"/>
        </w:rPr>
      </w:pPr>
      <w:r w:rsidRPr="008C334C">
        <w:rPr>
          <w:lang w:val="ru-RU"/>
        </w:rPr>
        <w:t xml:space="preserve">Троян Анна, Тема онтологических оснований общения в творчестве А.Платонова. Нарративная ткань рассказа Андрея Платонова «В прекрасном и яростном мире».// Научно-аналитический журнал «Пространство культуры» при Музее «Дом Бурганова». 2011 №3, 212-231, Москва. </w:t>
      </w:r>
    </w:p>
    <w:p w14:paraId="4311800E" w14:textId="7848DC26" w:rsidR="002B1861" w:rsidRDefault="008C334C">
      <w:r>
        <w:t xml:space="preserve">Russia and Europe: </w:t>
      </w:r>
      <w:r w:rsidR="007C3968">
        <w:t>Notes</w:t>
      </w:r>
      <w:r>
        <w:t xml:space="preserve"> for Russian Studies ELTE BTK Ruszisztikai Központ (Red. Gyula Szvák) (annotations in Russian and Hungarian were written by Anna Troján) 2010. (in Hungarian)</w:t>
      </w:r>
      <w:r w:rsidR="002B1861">
        <w:t xml:space="preserve"> </w:t>
      </w:r>
      <w:r w:rsidR="002B1861" w:rsidRPr="00BF5F05">
        <w:rPr>
          <w:b/>
          <w:bCs/>
        </w:rPr>
        <w:t>(</w:t>
      </w:r>
      <w:r w:rsidR="00BF5F05" w:rsidRPr="00BF5F05">
        <w:rPr>
          <w:b/>
          <w:bCs/>
        </w:rPr>
        <w:t>textbook</w:t>
      </w:r>
      <w:r w:rsidR="002B1861" w:rsidRPr="00BF5F05">
        <w:rPr>
          <w:b/>
          <w:bCs/>
        </w:rPr>
        <w:t>)</w:t>
      </w:r>
    </w:p>
    <w:p w14:paraId="313AF450" w14:textId="506C1B32" w:rsidR="008C334C" w:rsidRDefault="008C334C">
      <w:r>
        <w:t>Technical dictionary and phrase book for viticulturists (course design outline for Russian professional language) 2010. Technical dictionary and phrase book for customs officers (course design outline Russian professional language) 2010</w:t>
      </w:r>
      <w:r w:rsidR="00BF5F05">
        <w:t xml:space="preserve"> </w:t>
      </w:r>
      <w:r w:rsidR="00BF5F05" w:rsidRPr="00BF5F05">
        <w:rPr>
          <w:b/>
          <w:bCs/>
        </w:rPr>
        <w:t>(</w:t>
      </w:r>
      <w:r w:rsidR="005B0FEB">
        <w:rPr>
          <w:b/>
          <w:bCs/>
        </w:rPr>
        <w:t>glossar</w:t>
      </w:r>
      <w:r w:rsidR="00BF5F05" w:rsidRPr="00BF5F05">
        <w:rPr>
          <w:b/>
          <w:bCs/>
        </w:rPr>
        <w:t>y)</w:t>
      </w:r>
      <w:r w:rsidRPr="00BF5F05">
        <w:rPr>
          <w:b/>
          <w:bCs/>
        </w:rPr>
        <w:t>.</w:t>
      </w:r>
      <w:r>
        <w:t xml:space="preserve"> </w:t>
      </w:r>
    </w:p>
    <w:p w14:paraId="582DF237" w14:textId="77777777" w:rsidR="008C334C" w:rsidRDefault="008C334C">
      <w:pPr>
        <w:rPr>
          <w:lang w:val="hu-HU"/>
        </w:rPr>
      </w:pPr>
      <w:r w:rsidRPr="008C334C">
        <w:rPr>
          <w:lang w:val="ru-RU"/>
        </w:rPr>
        <w:lastRenderedPageBreak/>
        <w:t xml:space="preserve">Троян Анна, Категория точки зрения в литературоведческой концепци Б.Успенского и М. Дрозды (попытка сопоставления) // </w:t>
      </w:r>
      <w:r>
        <w:t>Studia</w:t>
      </w:r>
      <w:r w:rsidRPr="008C334C">
        <w:rPr>
          <w:lang w:val="ru-RU"/>
        </w:rPr>
        <w:t xml:space="preserve"> </w:t>
      </w:r>
      <w:r>
        <w:t>Slavica</w:t>
      </w:r>
      <w:r w:rsidRPr="008C334C">
        <w:rPr>
          <w:lang w:val="ru-RU"/>
        </w:rPr>
        <w:t xml:space="preserve"> </w:t>
      </w:r>
      <w:r>
        <w:t>Hung</w:t>
      </w:r>
      <w:r w:rsidRPr="008C334C">
        <w:rPr>
          <w:lang w:val="ru-RU"/>
        </w:rPr>
        <w:t xml:space="preserve">. 51, 359 372, 2006. </w:t>
      </w:r>
    </w:p>
    <w:p w14:paraId="2B602747" w14:textId="76EF43DE" w:rsidR="00681271" w:rsidRPr="008B00C6" w:rsidRDefault="008C334C">
      <w:pPr>
        <w:rPr>
          <w:lang w:val="ru-RU"/>
        </w:rPr>
      </w:pPr>
      <w:r w:rsidRPr="008C334C">
        <w:rPr>
          <w:lang w:val="ru-RU"/>
        </w:rPr>
        <w:t xml:space="preserve">Троян Анна, Стихотворение Б. Пастернака Я вишу на пере у творца // </w:t>
      </w:r>
      <w:r>
        <w:t>Slavica</w:t>
      </w:r>
      <w:r w:rsidRPr="008C334C">
        <w:rPr>
          <w:lang w:val="ru-RU"/>
        </w:rPr>
        <w:t xml:space="preserve"> </w:t>
      </w:r>
      <w:r>
        <w:t>XXXI</w:t>
      </w:r>
      <w:r w:rsidRPr="008C334C">
        <w:rPr>
          <w:lang w:val="ru-RU"/>
        </w:rPr>
        <w:t xml:space="preserve">, </w:t>
      </w:r>
      <w:r>
        <w:t>Debrecen</w:t>
      </w:r>
      <w:r w:rsidRPr="008C334C">
        <w:rPr>
          <w:lang w:val="ru-RU"/>
        </w:rPr>
        <w:t xml:space="preserve">, 2002, 165-175. </w:t>
      </w:r>
    </w:p>
    <w:p w14:paraId="1CEDA462" w14:textId="4B208E16" w:rsidR="00744BAD" w:rsidRDefault="008C334C" w:rsidP="008B00C6">
      <w:pPr>
        <w:pStyle w:val="NoSpacing"/>
      </w:pPr>
      <w:r>
        <w:t xml:space="preserve">Gustav Shpet's contribution to philosophy and cutlural theory in the Series of Comparative Cultural Studies ed. by Galin Tihanov. West Lafayette: Purdue University Press (Review in Russian) Studia Slavica 56, 2011/2, 467-472 </w:t>
      </w:r>
      <w:r w:rsidRPr="00744BAD">
        <w:rPr>
          <w:b/>
          <w:bCs/>
        </w:rPr>
        <w:t>(review)</w:t>
      </w:r>
      <w:r>
        <w:t xml:space="preserve"> </w:t>
      </w:r>
    </w:p>
    <w:p w14:paraId="4B2A4DDF" w14:textId="63C80CCE" w:rsidR="008C334C" w:rsidRDefault="008C334C" w:rsidP="008B00C6">
      <w:pPr>
        <w:pStyle w:val="NoSpacing"/>
      </w:pPr>
      <w:r>
        <w:t xml:space="preserve">Сolourful dictatorships (in Hungarian) Pozsonyi Irodalmi Szemle, 2011/1, 90-91 </w:t>
      </w:r>
      <w:r w:rsidRPr="00744BAD">
        <w:rPr>
          <w:b/>
          <w:bCs/>
        </w:rPr>
        <w:t>(review)</w:t>
      </w:r>
      <w:r>
        <w:t xml:space="preserve"> </w:t>
      </w:r>
    </w:p>
    <w:p w14:paraId="59633B35" w14:textId="16510737" w:rsidR="00AA0E0E" w:rsidRDefault="008C334C" w:rsidP="008B00C6">
      <w:pPr>
        <w:pStyle w:val="NoSpacing"/>
      </w:pPr>
      <w:r>
        <w:t xml:space="preserve">Vilén Naumovics Komisszarov: Lingviszticseszkoe perevodovedenie v Rosszii // Fordítástudomány 2005 (7. évf.) </w:t>
      </w:r>
      <w:r w:rsidRPr="00AA0E0E">
        <w:rPr>
          <w:b/>
          <w:bCs/>
        </w:rPr>
        <w:t>(review)</w:t>
      </w:r>
      <w:r>
        <w:t xml:space="preserve"> </w:t>
      </w:r>
    </w:p>
    <w:p w14:paraId="275840E1" w14:textId="77777777" w:rsidR="00AA0E0E" w:rsidRDefault="008C334C" w:rsidP="008B00C6">
      <w:pPr>
        <w:pStyle w:val="NoSpacing"/>
      </w:pPr>
      <w:r>
        <w:t xml:space="preserve">Tyimofej Rajnov: Goncsarov Obryv című regénye mint művészi egész, MTA Filológiai Közlöny 2012/3, 273-283 </w:t>
      </w:r>
      <w:r w:rsidRPr="00AA0E0E">
        <w:rPr>
          <w:b/>
          <w:bCs/>
        </w:rPr>
        <w:t>(translation)</w:t>
      </w:r>
    </w:p>
    <w:p w14:paraId="2CC832D9" w14:textId="77777777" w:rsidR="00AA0E0E" w:rsidRDefault="008C334C" w:rsidP="008B00C6">
      <w:pPr>
        <w:pStyle w:val="NoSpacing"/>
      </w:pPr>
      <w:r>
        <w:t xml:space="preserve"> David Burljuk: A faktúra </w:t>
      </w:r>
      <w:r w:rsidRPr="00AA0E0E">
        <w:rPr>
          <w:b/>
          <w:bCs/>
        </w:rPr>
        <w:t>(translation)</w:t>
      </w:r>
    </w:p>
    <w:p w14:paraId="7A13C723" w14:textId="77777777" w:rsidR="00AA0E0E" w:rsidRDefault="008C334C" w:rsidP="008B00C6">
      <w:pPr>
        <w:pStyle w:val="NoSpacing"/>
      </w:pPr>
      <w:r>
        <w:t xml:space="preserve"> David Burljuk: A kubizmus (felület – sík) </w:t>
      </w:r>
      <w:r w:rsidRPr="004E1E4C">
        <w:rPr>
          <w:b/>
          <w:bCs/>
        </w:rPr>
        <w:t>(translation)</w:t>
      </w:r>
      <w:r>
        <w:t xml:space="preserve"> </w:t>
      </w:r>
    </w:p>
    <w:p w14:paraId="45761F58" w14:textId="77777777" w:rsidR="004E1E4C" w:rsidRDefault="008C334C" w:rsidP="008B00C6">
      <w:pPr>
        <w:pStyle w:val="NoSpacing"/>
      </w:pPr>
      <w:r>
        <w:t xml:space="preserve">Kazimir Malevics: „Supremus” (translation) Kazimir Malevics, A költészetről </w:t>
      </w:r>
      <w:r w:rsidRPr="004E1E4C">
        <w:rPr>
          <w:b/>
          <w:bCs/>
        </w:rPr>
        <w:t>(translation)</w:t>
      </w:r>
      <w:r>
        <w:t xml:space="preserve"> in // Symbolism and the avant-garde of the Russian art (bilingual textbook. Ed.: Anna Han) Készült az OTKA T-037973 pályázat támogatásával </w:t>
      </w:r>
    </w:p>
    <w:p w14:paraId="026800B7" w14:textId="7FC50C4F" w:rsidR="008C334C" w:rsidRPr="00935EAF" w:rsidRDefault="008C334C" w:rsidP="008B00C6">
      <w:pPr>
        <w:pStyle w:val="NoSpacing"/>
      </w:pPr>
      <w:r>
        <w:t xml:space="preserve">Beszéd a stadionban. Joszif Brodszkij // “Napút” 1999/6 </w:t>
      </w:r>
      <w:r w:rsidRPr="004E1E4C">
        <w:rPr>
          <w:b/>
          <w:bCs/>
        </w:rPr>
        <w:t>(translation)</w:t>
      </w:r>
      <w:r>
        <w:t xml:space="preserve"> </w:t>
      </w:r>
    </w:p>
    <w:p w14:paraId="54B72A5D" w14:textId="1354299D" w:rsidR="008C334C" w:rsidRPr="008B00C6" w:rsidRDefault="008C334C" w:rsidP="008B00C6">
      <w:pPr>
        <w:pStyle w:val="NoSpacing"/>
        <w:rPr>
          <w:b/>
          <w:bCs/>
        </w:rPr>
      </w:pPr>
      <w:r>
        <w:t>Interview with Vanessa Martore. EDUCATIO 2011/2, 235-239. Interview with Péter Tibor Nagy: Thedigitalisation of Hungarian Jewish Encyclopedia:. Múlt és Jövő 2010/4, 109-112</w:t>
      </w:r>
      <w:r w:rsidR="00DA49CA">
        <w:t xml:space="preserve"> </w:t>
      </w:r>
      <w:r w:rsidR="00DA49CA" w:rsidRPr="00DA49CA">
        <w:rPr>
          <w:b/>
          <w:bCs/>
        </w:rPr>
        <w:t>(interview)</w:t>
      </w:r>
    </w:p>
    <w:p w14:paraId="0A93AFFD" w14:textId="67E33AD0" w:rsidR="008C334C" w:rsidRPr="00787341" w:rsidRDefault="008C334C" w:rsidP="008B00C6">
      <w:pPr>
        <w:pStyle w:val="NoSpacing"/>
      </w:pPr>
      <w:r>
        <w:t>Psychoanalysis and cultural memory: interview with psychoanalyst Ferenc Erős in the IQ, http://www.iskolakultura.hu/index.php?option=com_content&amp;view=article&amp;id..., 2010</w:t>
      </w:r>
      <w:r w:rsidR="00935EAF">
        <w:t xml:space="preserve"> </w:t>
      </w:r>
      <w:r w:rsidR="00DA49CA" w:rsidRPr="00DA49CA">
        <w:rPr>
          <w:b/>
          <w:bCs/>
        </w:rPr>
        <w:t>(interview)</w:t>
      </w:r>
    </w:p>
    <w:p w14:paraId="00D69492" w14:textId="701B8263" w:rsidR="008C334C" w:rsidRPr="008B00C6" w:rsidRDefault="008C334C" w:rsidP="008B00C6">
      <w:pPr>
        <w:pStyle w:val="NoSpacing"/>
      </w:pPr>
      <w:r>
        <w:t>Nagy</w:t>
      </w:r>
      <w:r w:rsidRPr="008B00C6">
        <w:t xml:space="preserve"> </w:t>
      </w:r>
      <w:r>
        <w:t>P</w:t>
      </w:r>
      <w:r w:rsidRPr="008B00C6">
        <w:t>é</w:t>
      </w:r>
      <w:r>
        <w:t>ter</w:t>
      </w:r>
      <w:r w:rsidRPr="008B00C6">
        <w:t xml:space="preserve"> </w:t>
      </w:r>
      <w:r>
        <w:t>Tibor</w:t>
      </w:r>
      <w:r w:rsidRPr="008B00C6">
        <w:t xml:space="preserve"> - </w:t>
      </w:r>
      <w:r>
        <w:t>Troj</w:t>
      </w:r>
      <w:r w:rsidRPr="008B00C6">
        <w:t>á</w:t>
      </w:r>
      <w:r>
        <w:t>n</w:t>
      </w:r>
      <w:r w:rsidRPr="008B00C6">
        <w:t xml:space="preserve"> </w:t>
      </w:r>
      <w:r>
        <w:t>Anna</w:t>
      </w:r>
      <w:r w:rsidRPr="008B00C6">
        <w:t xml:space="preserve"> </w:t>
      </w:r>
      <w:r>
        <w:t>Randolph</w:t>
      </w:r>
      <w:r w:rsidRPr="008B00C6">
        <w:t xml:space="preserve"> </w:t>
      </w:r>
      <w:r>
        <w:t>Braham</w:t>
      </w:r>
      <w:r w:rsidRPr="008B00C6">
        <w:t xml:space="preserve"> </w:t>
      </w:r>
      <w:r>
        <w:t>Holocaust</w:t>
      </w:r>
      <w:r w:rsidRPr="008B00C6">
        <w:t xml:space="preserve"> </w:t>
      </w:r>
      <w:r>
        <w:t>monogr</w:t>
      </w:r>
      <w:r w:rsidRPr="008B00C6">
        <w:t>á</w:t>
      </w:r>
      <w:r>
        <w:t>fi</w:t>
      </w:r>
      <w:r w:rsidRPr="008B00C6">
        <w:t>á</w:t>
      </w:r>
      <w:r>
        <w:t>j</w:t>
      </w:r>
      <w:r w:rsidRPr="008B00C6">
        <w:t>á</w:t>
      </w:r>
      <w:r>
        <w:t>hoz</w:t>
      </w:r>
      <w:r w:rsidRPr="008B00C6">
        <w:t xml:space="preserve"> </w:t>
      </w:r>
      <w:r>
        <w:t>k</w:t>
      </w:r>
      <w:r w:rsidRPr="008B00C6">
        <w:t>é</w:t>
      </w:r>
      <w:r>
        <w:t>sz</w:t>
      </w:r>
      <w:r w:rsidRPr="008B00C6">
        <w:t>ü</w:t>
      </w:r>
      <w:r>
        <w:t>lt</w:t>
      </w:r>
      <w:r w:rsidRPr="008B00C6">
        <w:t xml:space="preserve"> </w:t>
      </w:r>
      <w:r>
        <w:t>adatb</w:t>
      </w:r>
      <w:r w:rsidRPr="008B00C6">
        <w:t>á</w:t>
      </w:r>
      <w:r>
        <w:t>zis</w:t>
      </w:r>
      <w:r w:rsidRPr="008B00C6">
        <w:t xml:space="preserve">: </w:t>
      </w:r>
      <w:r>
        <w:t>http</w:t>
      </w:r>
      <w:r w:rsidRPr="008B00C6">
        <w:t>://</w:t>
      </w:r>
      <w:r>
        <w:t>mek</w:t>
      </w:r>
      <w:r w:rsidRPr="008B00C6">
        <w:t>.</w:t>
      </w:r>
      <w:r>
        <w:t>oszk</w:t>
      </w:r>
      <w:r w:rsidRPr="008B00C6">
        <w:t>.</w:t>
      </w:r>
      <w:r>
        <w:t>hu</w:t>
      </w:r>
      <w:r w:rsidRPr="008B00C6">
        <w:t>/11800/11857/ 201</w:t>
      </w:r>
      <w:r w:rsidR="00B85CF2" w:rsidRPr="008B00C6">
        <w:t>3</w:t>
      </w:r>
      <w:r w:rsidR="00DA49CA" w:rsidRPr="008B00C6">
        <w:t xml:space="preserve"> (</w:t>
      </w:r>
      <w:r w:rsidR="00DA49CA">
        <w:rPr>
          <w:b/>
          <w:bCs/>
        </w:rPr>
        <w:t>d</w:t>
      </w:r>
      <w:r w:rsidR="00DA49CA" w:rsidRPr="00DA49CA">
        <w:rPr>
          <w:b/>
          <w:bCs/>
        </w:rPr>
        <w:t>atabase</w:t>
      </w:r>
      <w:r w:rsidR="00DA49CA" w:rsidRPr="008B00C6">
        <w:t>)</w:t>
      </w:r>
    </w:p>
    <w:p w14:paraId="1F6E274B" w14:textId="77777777" w:rsidR="00DA49CA" w:rsidRPr="008B00C6" w:rsidRDefault="00DA49CA"/>
    <w:p w14:paraId="3510DFB7" w14:textId="49B5FCCB" w:rsidR="00DA49CA" w:rsidRPr="008B00C6" w:rsidRDefault="00DA49CA"/>
    <w:p w14:paraId="738D7A1F" w14:textId="77777777" w:rsidR="00DA49CA" w:rsidRPr="008B00C6" w:rsidRDefault="00DA49CA"/>
    <w:p w14:paraId="7905A8D6" w14:textId="1592ECE7" w:rsidR="00140FD2" w:rsidRPr="008B00C6" w:rsidRDefault="00140FD2"/>
    <w:sectPr w:rsidR="00140FD2" w:rsidRPr="008B0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4C"/>
    <w:rsid w:val="00016FB4"/>
    <w:rsid w:val="00057E6F"/>
    <w:rsid w:val="00140FD2"/>
    <w:rsid w:val="00195195"/>
    <w:rsid w:val="002B1861"/>
    <w:rsid w:val="00437EE8"/>
    <w:rsid w:val="004E1E4C"/>
    <w:rsid w:val="005B0FEB"/>
    <w:rsid w:val="00681271"/>
    <w:rsid w:val="006B0582"/>
    <w:rsid w:val="006D5F41"/>
    <w:rsid w:val="006F092E"/>
    <w:rsid w:val="006F53BA"/>
    <w:rsid w:val="00744BAD"/>
    <w:rsid w:val="00787341"/>
    <w:rsid w:val="007C3968"/>
    <w:rsid w:val="00810A32"/>
    <w:rsid w:val="0088034B"/>
    <w:rsid w:val="008B00C6"/>
    <w:rsid w:val="008C334C"/>
    <w:rsid w:val="00905A06"/>
    <w:rsid w:val="00935EAF"/>
    <w:rsid w:val="00971BFC"/>
    <w:rsid w:val="009D4363"/>
    <w:rsid w:val="00A55343"/>
    <w:rsid w:val="00AA0E0E"/>
    <w:rsid w:val="00AE731E"/>
    <w:rsid w:val="00B3487C"/>
    <w:rsid w:val="00B54F98"/>
    <w:rsid w:val="00B714A4"/>
    <w:rsid w:val="00B85CF2"/>
    <w:rsid w:val="00BF180F"/>
    <w:rsid w:val="00BF5F05"/>
    <w:rsid w:val="00C575B2"/>
    <w:rsid w:val="00CA2427"/>
    <w:rsid w:val="00CA4746"/>
    <w:rsid w:val="00DA49CA"/>
    <w:rsid w:val="00D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009CC"/>
  <w15:chartTrackingRefBased/>
  <w15:docId w15:val="{F2A6E994-72F9-451C-8D2D-76593727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3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3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3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3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3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3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3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3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3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3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3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3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3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3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3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3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3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3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3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33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33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3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33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3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3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34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B00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5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Trojan</dc:creator>
  <cp:keywords/>
  <dc:description/>
  <cp:lastModifiedBy>Anna Trojan</cp:lastModifiedBy>
  <cp:revision>18</cp:revision>
  <dcterms:created xsi:type="dcterms:W3CDTF">2025-05-29T10:01:00Z</dcterms:created>
  <dcterms:modified xsi:type="dcterms:W3CDTF">2025-05-29T21:38:00Z</dcterms:modified>
</cp:coreProperties>
</file>