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316C" w14:textId="057D327C" w:rsidR="00473ABD" w:rsidRDefault="00A557E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53F689" wp14:editId="4825F003">
            <wp:simplePos x="0" y="0"/>
            <wp:positionH relativeFrom="column">
              <wp:posOffset>64773</wp:posOffset>
            </wp:positionH>
            <wp:positionV relativeFrom="paragraph">
              <wp:posOffset>-182877</wp:posOffset>
            </wp:positionV>
            <wp:extent cx="2238375" cy="636270"/>
            <wp:effectExtent l="0" t="0" r="0" b="0"/>
            <wp:wrapSquare wrapText="bothSides" distT="0" distB="0" distL="114300" distR="114300"/>
            <wp:docPr id="7" name="image2.png" descr="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rasmus+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27581DF" wp14:editId="21043F99">
            <wp:simplePos x="0" y="0"/>
            <wp:positionH relativeFrom="column">
              <wp:posOffset>3231515</wp:posOffset>
            </wp:positionH>
            <wp:positionV relativeFrom="paragraph">
              <wp:posOffset>-309877</wp:posOffset>
            </wp:positionV>
            <wp:extent cx="2752725" cy="914400"/>
            <wp:effectExtent l="0" t="0" r="0" b="0"/>
            <wp:wrapSquare wrapText="bothSides" distT="0" distB="0" distL="114300" distR="114300"/>
            <wp:docPr id="8" name="image1.png" descr="wesley-janos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sley-janos-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126C1">
        <w:t>g</w:t>
      </w:r>
    </w:p>
    <w:p w14:paraId="314B0308" w14:textId="77777777" w:rsidR="00473ABD" w:rsidRDefault="00473ABD"/>
    <w:p w14:paraId="25C01B0E" w14:textId="77777777" w:rsidR="00473ABD" w:rsidRDefault="00473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AB70F" w14:textId="77777777" w:rsidR="00473ABD" w:rsidRDefault="00473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DA586" w14:textId="77777777" w:rsidR="00473ABD" w:rsidRDefault="00A557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PÁLYÁZATI KIÍRÁS</w:t>
      </w:r>
    </w:p>
    <w:p w14:paraId="1AB3CED0" w14:textId="77777777" w:rsidR="00473ABD" w:rsidRDefault="00A557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HALLGATÓK SZAKMAI GYAKORLAT CÉLÚ MOBILITÁSA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7F11BFD3" w14:textId="77777777" w:rsidR="00473ABD" w:rsidRDefault="00473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8FFAE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Erasmus+ program az Európai Bizottság legsikeresebb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oktatást, képzést, ifjúságügyet támogató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programja. A Wesley János Lelkészképző Főiskola elkötelezett az Erasmus+ program mellett és fontos célja, hogy minél több Wesley-s hallgató vehessen részt a programban.</w:t>
      </w:r>
    </w:p>
    <w:p w14:paraId="42FC3CA2" w14:textId="77777777" w:rsidR="008126C1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Ezért a Főiskola intézményi szintű pályázatot ír ki a 202</w:t>
      </w:r>
      <w:r w:rsidR="008126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126C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0D49BCB" w14:textId="77777777" w:rsidR="008126C1" w:rsidRDefault="008126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5A421" w14:textId="61AEFAB3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-es tanévben Erasmus+ hallgatói szakmai gyakorlati mobilitási programban való részvételre.</w:t>
      </w:r>
    </w:p>
    <w:p w14:paraId="312671BD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61AEE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szakmai gyakorlat pályázat célja:</w:t>
      </w:r>
    </w:p>
    <w:p w14:paraId="58A3E9F0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szakmai gyakorlat egy másik program- vagy partnerországban található vállalkozásnál, szervezetnél eltöltött időszak. Célja, hogy segítséget nyújtson a közösségi munkaerőpiacon szükséges készségek elsajátításához, valamint a fogadó ország gazdasági és társadalmi kultúrájának megértéséhez. </w:t>
      </w:r>
    </w:p>
    <w:p w14:paraId="23526EFC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8885F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Fogadó intézmény lehet: </w:t>
      </w:r>
    </w:p>
    <w:p w14:paraId="271481A6" w14:textId="77777777" w:rsidR="00473ABD" w:rsidRDefault="00A557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munkaerőpiacon, </w:t>
      </w:r>
    </w:p>
    <w:p w14:paraId="58BE8EAD" w14:textId="77777777" w:rsidR="00473ABD" w:rsidRDefault="00A557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oktatás, képzés vagy az ifjúság a kutatás és az innováció területén tevékenykedő</w:t>
      </w:r>
    </w:p>
    <w:p w14:paraId="217466BB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köz- vagy magánszervezetek/intézmények/vállalkozások</w:t>
      </w:r>
    </w:p>
    <w:p w14:paraId="0995CC49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CAB069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 lehetnek:  </w:t>
      </w:r>
    </w:p>
    <w:p w14:paraId="44DE8635" w14:textId="77777777" w:rsidR="00473ABD" w:rsidRDefault="00A557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Nemzeti Irodák,  </w:t>
      </w:r>
    </w:p>
    <w:p w14:paraId="27CF85D5" w14:textId="77777777" w:rsidR="00473ABD" w:rsidRDefault="00A557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európai uniós szervezetek. </w:t>
      </w:r>
    </w:p>
    <w:p w14:paraId="5F4E0967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BAA21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mobilitás csak akkor valósulhat meg, ha a külföldi szakmai gyakorlatot a küldő intézmény (Wesley)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elfogadja, és azt a hallgató itthoni előmenetelébe – a Wesley-s kreditszámokon és átszámított érdemjeggyel, vagy a diplomamellékletben feltüntetve – beszámítja.</w:t>
      </w:r>
    </w:p>
    <w:p w14:paraId="534A9B8A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DD805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pályázatban résztvevő országok</w:t>
      </w:r>
    </w:p>
    <w:p w14:paraId="0F951E52" w14:textId="77777777" w:rsidR="00473ABD" w:rsidRDefault="00A557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ún.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programországok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egyfelől az Európai Unió tagállamai (Ausztria, Belgium, Bulgária, Ciprus, Cseh Köztársaság, Dánia, Észtország, Finnország, Franciaország, Görögország, Hollandia, Horvátország, Írország, Lengyelország, Lettország, Litvánia, Luxemburg,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Magyarország, Málta, Németország, Olaszország, Portugália, Románia, Spanyolország, Szlovákia, Szlovénia, Svédország),  </w:t>
      </w:r>
    </w:p>
    <w:p w14:paraId="66B8F5D8" w14:textId="77777777" w:rsidR="00473ABD" w:rsidRDefault="00A557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másfelől - nem EU tagállamként - szintén programországnak számít az alábbi hat állam: Észak-macedón Köztársaság, Izland, Liechtenstein, Norvégia, Törökország és Szerbia </w:t>
      </w:r>
    </w:p>
    <w:p w14:paraId="60BC594D" w14:textId="77777777" w:rsidR="00473ABD" w:rsidRDefault="00A557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ún.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partnerországok </w:t>
      </w:r>
      <w:r>
        <w:rPr>
          <w:rFonts w:ascii="Times New Roman" w:eastAsia="Times New Roman" w:hAnsi="Times New Roman" w:cs="Times New Roman"/>
          <w:sz w:val="24"/>
          <w:szCs w:val="24"/>
        </w:rPr>
        <w:t>(vagy más néven, a programhoz nem társult harmadik országok): A 2021-es pályázati évtől kezdődően partnerországokban megvalósuló szakmai gyakorlat is támogatható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felsőoktatási intézmény által meghatározott módon. Erről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itt tájékozódhat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bővebben. </w:t>
      </w:r>
    </w:p>
    <w:p w14:paraId="34BAC626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 Erasmus+ program keretében a nyertes hallgatók </w:t>
      </w:r>
    </w:p>
    <w:p w14:paraId="7C507E36" w14:textId="77777777" w:rsidR="00473ABD" w:rsidRDefault="00A55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küldő és a fogadó intézmény által egyeztetett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szakmai gyakorlati munkaterv szerint végzik szakmai gyakorlatukat a fogadó intéz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ménynél </w:t>
      </w:r>
    </w:p>
    <w:p w14:paraId="3706D8BA" w14:textId="77777777" w:rsidR="00473ABD" w:rsidRDefault="00A55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fogadó intézményben nem fizetnek tandíjat;</w:t>
      </w:r>
    </w:p>
    <w:p w14:paraId="1CB51BD5" w14:textId="77777777" w:rsidR="00473ABD" w:rsidRDefault="00A55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Erasmus+ ösztöndíjban részesülnek a külföldön töltött időszakra,</w:t>
      </w:r>
    </w:p>
    <w:p w14:paraId="6AF9800F" w14:textId="77777777" w:rsidR="00473ABD" w:rsidRDefault="00A55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gyakorlatot egy beszámoló elkészítésével fejezik be.</w:t>
      </w:r>
    </w:p>
    <w:p w14:paraId="00B2BCCF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20054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 a hallgató pályázhat, </w:t>
      </w:r>
    </w:p>
    <w:p w14:paraId="3BD37A06" w14:textId="77777777" w:rsidR="00473ABD" w:rsidRDefault="00A55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 a pályázat benyújtásának idején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aktív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hallgatói jogviszonnyal rendelkezik a Wesley-n; </w:t>
      </w:r>
    </w:p>
    <w:p w14:paraId="3AFCFF83" w14:textId="77777777" w:rsidR="00473ABD" w:rsidRDefault="00A55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 magyar állampolgársággal, regisztrációs igazolással vagy érvényes letelepedési, illetőleg tartózkodási engedéllyel rendelkezik, menekült stát</w:t>
      </w:r>
      <w:r>
        <w:rPr>
          <w:rFonts w:ascii="Times New Roman" w:eastAsia="Times New Roman" w:hAnsi="Times New Roman" w:cs="Times New Roman"/>
          <w:sz w:val="24"/>
          <w:szCs w:val="24"/>
        </w:rPr>
        <w:t>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6E31B6F" w14:textId="77777777" w:rsidR="00473ABD" w:rsidRDefault="00A55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vagy osztatlan képzésben részt vevő hallgató esetében: akinek a pályázás idején van legalább 1 lezárt féléve (a speciális tanszéki szabályok ettől eltérhetnek); </w:t>
      </w:r>
    </w:p>
    <w:p w14:paraId="21A038CF" w14:textId="77777777" w:rsidR="00473ABD" w:rsidRDefault="00A55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 rendelkezik a gyakorlat elvégz</w:t>
      </w:r>
      <w:r>
        <w:rPr>
          <w:rFonts w:ascii="Times New Roman" w:eastAsia="Times New Roman" w:hAnsi="Times New Roman" w:cs="Times New Roman"/>
          <w:sz w:val="24"/>
          <w:szCs w:val="24"/>
        </w:rPr>
        <w:t>éséhez szükséges munkanyelv megfelelő ismeretével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B01B9E" w14:textId="77777777" w:rsidR="00473ABD" w:rsidRDefault="00A55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valamint aki megfelel az adott tanszéken meghirdetett pályázati követelményeknek. </w:t>
      </w:r>
    </w:p>
    <w:p w14:paraId="71203BA3" w14:textId="47696A66" w:rsidR="00473ABD" w:rsidRDefault="00A55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akinek a tanulmányi átlaga az előző két félévben legalább 3,5 vagy annál több.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3223B8FA" w14:textId="7327CE44" w:rsidR="008126C1" w:rsidRDefault="008126C1" w:rsidP="008126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F9128" w14:textId="77777777" w:rsidR="008126C1" w:rsidRPr="008126C1" w:rsidRDefault="008126C1" w:rsidP="00812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Hallgatói mobilitás </w:t>
      </w:r>
    </w:p>
    <w:p w14:paraId="78007FF9" w14:textId="77777777" w:rsidR="008126C1" w:rsidRPr="008126C1" w:rsidRDefault="008126C1" w:rsidP="00812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Rövid távú fizikai mobilitás </w:t>
      </w:r>
    </w:p>
    <w:p w14:paraId="463A687F" w14:textId="77777777" w:rsidR="008126C1" w:rsidRPr="008126C1" w:rsidRDefault="008126C1" w:rsidP="008126C1">
      <w:pPr>
        <w:numPr>
          <w:ilvl w:val="0"/>
          <w:numId w:val="10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 bármely országba irányuló </w:t>
      </w: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rövid távú fizikai mobilitásban részt vevő hallgatók és frissen végzettek </w:t>
      </w: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 tevékenység 14. napjáig </w:t>
      </w: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79 EUR/nap </w:t>
      </w: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alapösszegben, a tevékenység 15–30. napja közötti időszakra és a finanszírozott utazási napokra pedig </w:t>
      </w: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56 EUR/nap </w:t>
      </w: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alapösszegben részesülnek. </w:t>
      </w:r>
    </w:p>
    <w:p w14:paraId="49C79F7C" w14:textId="77777777" w:rsidR="008126C1" w:rsidRPr="008126C1" w:rsidRDefault="008126C1" w:rsidP="008126C1">
      <w:pPr>
        <w:numPr>
          <w:ilvl w:val="0"/>
          <w:numId w:val="10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 </w:t>
      </w: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rövid távú fizikai mobilitásban részt vevő kevesebb lehetőséggel rendelkező hallgatók és frissen végzettek </w:t>
      </w: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az egyedi támogatás alapösszege mellett 5–14 napos fizikai mobilitási tevékenység esetén </w:t>
      </w: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>100 EUR</w:t>
      </w: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, 15–30 napos fizikai mobilitás esetén pedig </w:t>
      </w: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150 EUR </w:t>
      </w: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kiegészítő összegre jogosultak. </w:t>
      </w:r>
    </w:p>
    <w:p w14:paraId="0A3E3F9A" w14:textId="77777777" w:rsidR="008126C1" w:rsidRPr="008126C1" w:rsidRDefault="008126C1" w:rsidP="008126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A szakmai gyakorlaton részt vevőknek járó kiegészítő összeg rövid távú mobilitásban részt vevő hallgatók és frissen végzettek esetében nem alkalmazandó. </w:t>
      </w:r>
    </w:p>
    <w:p w14:paraId="592102A2" w14:textId="3E03E224" w:rsidR="008126C1" w:rsidRDefault="008126C1" w:rsidP="008126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EDFB601" w14:textId="77777777" w:rsidR="00B5124D" w:rsidRDefault="00B5124D" w:rsidP="00812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p w14:paraId="3C92E36C" w14:textId="727B4A56" w:rsidR="008126C1" w:rsidRPr="008126C1" w:rsidRDefault="008126C1" w:rsidP="00812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lastRenderedPageBreak/>
        <w:t xml:space="preserve">Hosszú távú fizikai mobilitás </w:t>
      </w:r>
    </w:p>
    <w:p w14:paraId="6A2B82C5" w14:textId="1AC28DFC" w:rsidR="008126C1" w:rsidRPr="00CA738F" w:rsidRDefault="008126C1" w:rsidP="008126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8126C1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Az uniós tagállamokba, a programhoz társult harmadik országokba és a 13. és a 14. régió programhoz nem társult harmadik országaiba irányuló, tanulmányi és szakmai gyakorlati célú hosszú távú hallgatói mobilitás esetében alkalmazandó alapösszeg, kivéve a legkülső régiókból és a tengerentúli országokból és területekről érkező hallgatókat </w:t>
      </w:r>
    </w:p>
    <w:p w14:paraId="34CDAF33" w14:textId="51C70946" w:rsidR="00CA738F" w:rsidRDefault="00CA738F" w:rsidP="00CA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p w14:paraId="5BBBA2C9" w14:textId="4860E97D" w:rsidR="00CA738F" w:rsidRDefault="00CA738F" w:rsidP="00CA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CA738F" w14:paraId="6B67AC0C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0213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Fogadó Ország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4242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Ukrajnából érkező résztvevő</w:t>
            </w:r>
          </w:p>
          <w:p w14:paraId="7A42B005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Összeg/nap (EUR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738F" w14:paraId="6E99AC9A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287F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B">
              <w:rPr>
                <w:rFonts w:ascii="Times New Roman" w:eastAsia="Times New Roman" w:hAnsi="Times New Roman" w:cs="Times New Roman"/>
              </w:rPr>
              <w:t>Ausztria, Belgium, Dánia, Finnország, Franciaország, Németország, Izland, Írország, Olaszország, Liechtenstein,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Luxemburg, </w:t>
            </w:r>
            <w:r w:rsidRPr="00E91ABB">
              <w:rPr>
                <w:rFonts w:ascii="Times New Roman" w:eastAsia="Times New Roman" w:hAnsi="Times New Roman" w:cs="Times New Roman"/>
              </w:rPr>
              <w:t xml:space="preserve">Hollandia, Norvégia, Svédország                                                            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4569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EUR</w:t>
            </w:r>
          </w:p>
        </w:tc>
      </w:tr>
      <w:tr w:rsidR="00CA738F" w14:paraId="3C623C4F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9086" w14:textId="77777777" w:rsidR="00CA738F" w:rsidRDefault="00CA738F" w:rsidP="00570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Ciprus, Cseh Köztársaság, Észtország, Görögország, Lettország, Málta, Portugália, Szlovákia , Szlovénia, Spanyolország</w:t>
            </w:r>
          </w:p>
          <w:p w14:paraId="70D832D4" w14:textId="77777777" w:rsidR="00CA738F" w:rsidRDefault="00CA738F" w:rsidP="00570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2DA2A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4D82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EUR</w:t>
            </w:r>
          </w:p>
        </w:tc>
      </w:tr>
      <w:tr w:rsidR="00CA738F" w14:paraId="6772C9E0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7280" w14:textId="77777777" w:rsidR="00CA738F" w:rsidRDefault="00CA738F" w:rsidP="00570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Bulgária, Észak-Macedónia, Horvátország, Lengyelország, Litvánia, Magyarország, Románia, Szerbia, Törökország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5D22" w14:textId="77777777" w:rsidR="00CA738F" w:rsidRDefault="00CA738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  EUR</w:t>
            </w:r>
          </w:p>
        </w:tc>
      </w:tr>
    </w:tbl>
    <w:p w14:paraId="48EA2C89" w14:textId="77777777" w:rsidR="00CA738F" w:rsidRPr="008126C1" w:rsidRDefault="00CA738F" w:rsidP="00CA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</w:p>
    <w:p w14:paraId="3607528D" w14:textId="77777777" w:rsidR="008126C1" w:rsidRPr="008126C1" w:rsidRDefault="008126C1" w:rsidP="008126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C9CC1BD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174A9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elnyerhető ösztöndíj összege</w:t>
      </w:r>
    </w:p>
    <w:p w14:paraId="2CA53AC2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BE344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473ABD" w14:paraId="3501D19F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89C8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Fogadó ország 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B4F1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Tanulmányi mobilitás (Havi) 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61FC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Szakmai gyakorlat (havi) </w:t>
            </w:r>
          </w:p>
        </w:tc>
      </w:tr>
      <w:tr w:rsidR="00473ABD" w14:paraId="605E704E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4"/>
            </w:tblGrid>
            <w:tr w:rsidR="008126C1" w:rsidRPr="008126C1" w14:paraId="3D811832" w14:textId="77777777">
              <w:trPr>
                <w:trHeight w:val="827"/>
              </w:trPr>
              <w:tc>
                <w:tcPr>
                  <w:tcW w:w="3774" w:type="dxa"/>
                </w:tcPr>
                <w:p w14:paraId="3E4378E1" w14:textId="77777777" w:rsidR="008126C1" w:rsidRPr="008126C1" w:rsidRDefault="008126C1" w:rsidP="008126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RO"/>
                    </w:rPr>
                  </w:pPr>
                  <w:r w:rsidRPr="008126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Ausztria, Belgium, Dánia, Finnország, Franciaország, Németország, Izland, Írország, Olaszország, Liechtenstein, Luxemburg, Hollandia, Norvégia, Svédország. A 13. és a 14. régió programhoz nem társult harmadik országai </w:t>
                  </w:r>
                </w:p>
              </w:tc>
            </w:tr>
          </w:tbl>
          <w:p w14:paraId="64130059" w14:textId="4ED2C6F1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42C1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600 €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B995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750 €</w:t>
            </w:r>
          </w:p>
        </w:tc>
      </w:tr>
      <w:tr w:rsidR="00473ABD" w14:paraId="572CAD5A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373B" w14:textId="77777777" w:rsidR="008126C1" w:rsidRDefault="008126C1" w:rsidP="008126C1">
            <w:pPr>
              <w:pStyle w:val="Default"/>
            </w:pPr>
            <w:r>
              <w:rPr>
                <w:sz w:val="22"/>
                <w:szCs w:val="22"/>
              </w:rPr>
              <w:t xml:space="preserve">Ciprus, Cseh Köztársaság, Észtország, Görögország, Lettország, Málta, Portugália, Szlovákia, Szlovénia, Spanyolország </w:t>
            </w:r>
          </w:p>
          <w:p w14:paraId="2D2010DE" w14:textId="540A33A5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DBC1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600 €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636A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750 €</w:t>
            </w:r>
          </w:p>
        </w:tc>
      </w:tr>
      <w:tr w:rsidR="00473ABD" w14:paraId="53574C6A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85BE" w14:textId="77777777" w:rsidR="008126C1" w:rsidRDefault="008126C1" w:rsidP="008126C1">
            <w:pPr>
              <w:pStyle w:val="Default"/>
            </w:pPr>
            <w:r>
              <w:rPr>
                <w:sz w:val="22"/>
                <w:szCs w:val="22"/>
              </w:rPr>
              <w:t xml:space="preserve">Az 1–12. régió programhoz nem társult harmadik országai (ICM jellegű mobilitás) </w:t>
            </w:r>
          </w:p>
          <w:p w14:paraId="77A5E16B" w14:textId="3FA2E490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CE77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700 €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8A2B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700 €</w:t>
            </w:r>
          </w:p>
        </w:tc>
      </w:tr>
      <w:tr w:rsidR="00473ABD" w14:paraId="7C604ECA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7292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Rövid távú hallgatói mobilitás (BIP, doktori mobilitás)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32BD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70 €/nap</w:t>
            </w:r>
          </w:p>
          <w:p w14:paraId="5632657C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 15. naptól 50 €)</w:t>
            </w:r>
          </w:p>
          <w:p w14:paraId="666C244E" w14:textId="77777777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B181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70 €/nap</w:t>
            </w:r>
          </w:p>
          <w:p w14:paraId="37DB94A7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 15. naptól 50 €)</w:t>
            </w:r>
          </w:p>
          <w:p w14:paraId="7DE2AEFE" w14:textId="77777777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D" w14:paraId="37F5213E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99CA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Erasmus+ esélyegyenlőségi támogatás rövid távú hallgatói mobilitás esetén</w:t>
            </w:r>
          </w:p>
          <w:p w14:paraId="59079E57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(külön igénylés alapján)</w:t>
            </w:r>
          </w:p>
          <w:p w14:paraId="14526625" w14:textId="77777777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5A8E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egyszeri 100 €</w:t>
            </w:r>
          </w:p>
          <w:p w14:paraId="0C0FCD82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(1-14 napos időtartamú mobilitásra)</w:t>
            </w:r>
          </w:p>
          <w:p w14:paraId="554BB87C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egyszeri 150 €</w:t>
            </w:r>
          </w:p>
          <w:p w14:paraId="54F15918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(15-30 napos időtartamú</w:t>
            </w:r>
          </w:p>
          <w:p w14:paraId="49F3C4B6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mobilitásra)</w:t>
            </w:r>
          </w:p>
          <w:p w14:paraId="27CE4F8A" w14:textId="77777777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174F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egyszeri 100 €</w:t>
            </w:r>
          </w:p>
          <w:p w14:paraId="6D60F1AF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(1-14 napos időtartamú mobilitásra)</w:t>
            </w:r>
          </w:p>
          <w:p w14:paraId="3B24CB6C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egyszeri 150 €</w:t>
            </w:r>
          </w:p>
          <w:p w14:paraId="0D9CCA06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(15-30 napos időtartamú</w:t>
            </w:r>
          </w:p>
          <w:p w14:paraId="52FF0F36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mobilitásra)</w:t>
            </w:r>
          </w:p>
          <w:p w14:paraId="1DF76BF4" w14:textId="77777777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D" w14:paraId="70E0D20D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2ACD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Erasmus+ esélyegyenlőségi támogatás normál mobilitás esetén</w:t>
            </w:r>
          </w:p>
          <w:p w14:paraId="44BBEE29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(külön igénylés alapján)</w:t>
            </w:r>
          </w:p>
          <w:p w14:paraId="78AC861D" w14:textId="77777777" w:rsidR="00473ABD" w:rsidRDefault="0047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03F8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250 €/hó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F745" w14:textId="77777777" w:rsidR="00473ABD" w:rsidRDefault="00A557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250 €/hó</w:t>
            </w:r>
          </w:p>
        </w:tc>
      </w:tr>
    </w:tbl>
    <w:p w14:paraId="7BE74191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B59D3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1E120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64AA2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A2A08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hallgatói mobilitás időtartama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A3B2E13" w14:textId="77777777" w:rsidR="00473ABD" w:rsidRDefault="00A55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Hallgatói szakmai gyakorlatra 2-12 hónap időtartamban lehet pályázni. </w:t>
      </w:r>
    </w:p>
    <w:p w14:paraId="4B637F72" w14:textId="77777777" w:rsidR="00473ABD" w:rsidRDefault="00A55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azok a hallgatók (rövid ciklus/alapképzés/mesterképzés), akik nem tudnak hosszú távú (azaz 2-12 hónapos) fizikai tanulmányi vagy szakmai gyakorlati célú mobilitásban részt venni például a tanulmányi területük miatt, vagy azért, mert kevesebb lehetőségük nyílik a részvételre (különösen, ha esélyegyenlőségi kiegészítő támogatásra is jogosultak valamelyik jogcímen), rövid távú (5-30 napos) fizikai mobilitási tevékenységet is megvalósíthatnak, ha kötelező virtuális elemmel kombinálják azt, azaz ún. vegyes mobilitást valósítanak meg. </w:t>
      </w:r>
    </w:p>
    <w:p w14:paraId="431D0BA9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524AA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pályázat benyújtásának határideje és módja:</w:t>
      </w:r>
    </w:p>
    <w:p w14:paraId="796C7887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szakmai gyakorlatra a jelentkezés folyamatos a tanév során bármikor lehetséges. A Főiskola Erasmus+ koordinátora által kezelt e-mail címre érkezzenek a jelentkezési lapok és a mellékletek: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erasmusmobility@wjlf.hu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8CD07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E544B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Határideje: folyamatos </w:t>
      </w:r>
    </w:p>
    <w:p w14:paraId="5EB49769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1219300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Benyújtandó dokumentumok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114A82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2641919" w14:textId="77777777" w:rsidR="00473ABD" w:rsidRDefault="00A557E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Europass önéletrajz (magyarul vagy angolul)</w:t>
      </w:r>
    </w:p>
    <w:p w14:paraId="55238C94" w14:textId="77777777" w:rsidR="00473ABD" w:rsidRDefault="00A557E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motivációs levél, amelyben kérjük, mindenképpen térjen ki az alábbi pontokra (magyarul vagy angolul):</w:t>
      </w:r>
    </w:p>
    <w:p w14:paraId="4FD4E1F5" w14:textId="77777777" w:rsidR="00473ABD" w:rsidRDefault="00A557EC">
      <w:pPr>
        <w:numPr>
          <w:ilvl w:val="1"/>
          <w:numId w:val="5"/>
        </w:numPr>
        <w:shd w:val="clear" w:color="auto" w:fill="FFFFFF"/>
        <w:spacing w:after="0" w:line="360" w:lineRule="auto"/>
        <w:ind w:left="993" w:firstLine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a program szakmai jelentősége a pályázó számára?</w:t>
      </w:r>
    </w:p>
    <w:p w14:paraId="34ED5CD4" w14:textId="77777777" w:rsidR="00473ABD" w:rsidRDefault="00A557EC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Miért érdemes a választott országban és intézményben teljesíteni az adott tanulmányi programot, illetve az a program a hazai megfelelőjéhez képest milyen előnyökkel jár?</w:t>
      </w:r>
    </w:p>
    <w:p w14:paraId="110F0F47" w14:textId="77777777" w:rsidR="00473ABD" w:rsidRDefault="00A557EC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Milyen szakmai és karrierbeli következményekkel és hatásokkal jár a pályázó számára a program teljesítése?</w:t>
      </w:r>
    </w:p>
    <w:p w14:paraId="09C9DD9B" w14:textId="77777777" w:rsidR="00473ABD" w:rsidRDefault="00A557EC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Szerepeljen motivációs levelében, ha végez közösségi tevékenységet a Wesley Főiskola keretein belül (pl. HÖK tevékenység)</w:t>
      </w:r>
    </w:p>
    <w:p w14:paraId="20472960" w14:textId="77777777" w:rsidR="00473ABD" w:rsidRDefault="00A557E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tanulmányi terv/munkaterv  (magyarul és a külföldi tanulmányok/gyakorlat  nyelvén):</w:t>
      </w:r>
    </w:p>
    <w:p w14:paraId="650B05D7" w14:textId="77777777" w:rsidR="00473ABD" w:rsidRDefault="00A557E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Külön dokumentumban mutassa be, milyen tevékenységeket kíván folytatni (korábban tájékozódva a fogadó intézmény/vállalkozás/szervezet/egyetem honlapján a szóba jöhető tevékenységekről)</w:t>
      </w:r>
    </w:p>
    <w:p w14:paraId="72EBEB42" w14:textId="77777777" w:rsidR="00473ABD" w:rsidRDefault="00A557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korábbi félévek átlagai a Tanulmányi Hivatal által kiállított dokumentumban </w:t>
      </w:r>
    </w:p>
    <w:p w14:paraId="5FAD413B" w14:textId="77777777" w:rsidR="00473ABD" w:rsidRDefault="00A557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nem magyar állampolgár, akkor az érvényes letelepedési vagy tartózkodási engedély, vagy a menekült státuszt igazoló okmány másolata</w:t>
      </w:r>
    </w:p>
    <w:p w14:paraId="36DF571C" w14:textId="63A7DD00" w:rsidR="00024FC0" w:rsidRDefault="00EE5CC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93E1407" w14:textId="77777777" w:rsidR="00024FC0" w:rsidRDefault="00024F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7BC01E" w14:textId="311DA48A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benyújtott pályázatok elbírálása:</w:t>
      </w:r>
    </w:p>
    <w:p w14:paraId="168619DD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benyújtott pályázatokat az Erasmus Bizottság bírálja el.</w:t>
      </w:r>
    </w:p>
    <w:p w14:paraId="319AFA65" w14:textId="77777777" w:rsidR="00473ABD" w:rsidRDefault="00A5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Tanulmányi Bizottság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döntés előtt meghallgatja a jelentkezőket, teszteli a nyelvtudást, pontoz és rangsorol. A meghallgatás időpontja és online vagy személyes jellege egyeztetést követően kerül meghatározás, amiről a hallgató emailben kap értesítést.</w:t>
      </w:r>
    </w:p>
    <w:p w14:paraId="2184B6A1" w14:textId="77777777" w:rsidR="00473ABD" w:rsidRDefault="00473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F1254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pályázatok elbírálásának általános szempontjai az alábbiakban találhatók. (A pályázatok elbírálásának általános szempontjai az Erasmus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által megállapított pontozási rendszer): </w:t>
      </w:r>
    </w:p>
    <w:p w14:paraId="094F2A8A" w14:textId="77777777" w:rsidR="00473ABD" w:rsidRDefault="00A5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szaknyelvi ismeret, </w:t>
      </w:r>
    </w:p>
    <w:p w14:paraId="3D1F93B9" w14:textId="77777777" w:rsidR="00473ABD" w:rsidRDefault="00A5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tanulmányi eredmény, </w:t>
      </w:r>
    </w:p>
    <w:p w14:paraId="7F7304C2" w14:textId="77777777" w:rsidR="00473ABD" w:rsidRDefault="00A5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szakmai tájékozottság és aktivitás,</w:t>
      </w:r>
    </w:p>
    <w:p w14:paraId="7A8A7D89" w14:textId="77777777" w:rsidR="00473ABD" w:rsidRDefault="00A5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kiválóság vagy egyéb jelentős szakmai teljesítmény.</w:t>
      </w:r>
    </w:p>
    <w:p w14:paraId="2DFEE2BD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D2AC7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pályázatok elkészítésével kapcsolatos szakmai kérdésekben a tanszéki Erasmus+ koordinátorok és a</w:t>
      </w:r>
      <w:r>
        <w:rPr>
          <w:rFonts w:ascii="Times New Roman" w:eastAsia="Times New Roman" w:hAnsi="Times New Roman" w:cs="Times New Roman"/>
          <w:sz w:val="24"/>
          <w:szCs w:val="24"/>
        </w:rPr>
        <w:t>z intézményi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Erasmus+ koordinátor állnak rendelkezésükre. </w:t>
      </w:r>
    </w:p>
    <w:p w14:paraId="796EDE05" w14:textId="77777777" w:rsidR="00473ABD" w:rsidRDefault="00473A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85BD4" w14:textId="2811D2DA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Budapest, </w:t>
      </w:r>
      <w:r w:rsidR="008126C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26C1">
        <w:rPr>
          <w:rFonts w:ascii="Times New Roman" w:eastAsia="Times New Roman" w:hAnsi="Times New Roman" w:cs="Times New Roman"/>
          <w:sz w:val="24"/>
          <w:szCs w:val="24"/>
        </w:rPr>
        <w:t>október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F7B127" w14:textId="77777777" w:rsidR="00473ABD" w:rsidRDefault="00A557EC">
      <w:pPr>
        <w:tabs>
          <w:tab w:val="left" w:pos="78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Sikeres pályázást kívánunk!</w:t>
      </w:r>
    </w:p>
    <w:sectPr w:rsidR="00473AB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72ACD" w14:textId="77777777" w:rsidR="003357C3" w:rsidRDefault="003357C3">
      <w:pPr>
        <w:spacing w:after="0" w:line="240" w:lineRule="auto"/>
      </w:pPr>
      <w:r>
        <w:separator/>
      </w:r>
    </w:p>
  </w:endnote>
  <w:endnote w:type="continuationSeparator" w:id="0">
    <w:p w14:paraId="59C62CDB" w14:textId="77777777" w:rsidR="003357C3" w:rsidRDefault="0033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44BB" w14:textId="77777777" w:rsidR="00473ABD" w:rsidRDefault="00A557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26C1">
      <w:rPr>
        <w:noProof/>
        <w:color w:val="000000"/>
      </w:rPr>
      <w:t>1</w:t>
    </w:r>
    <w:r>
      <w:rPr>
        <w:color w:val="000000"/>
      </w:rPr>
      <w:fldChar w:fldCharType="end"/>
    </w:r>
  </w:p>
  <w:p w14:paraId="7BCE8C94" w14:textId="77777777" w:rsidR="00473ABD" w:rsidRDefault="00473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3152" w14:textId="77777777" w:rsidR="003357C3" w:rsidRDefault="003357C3">
      <w:pPr>
        <w:spacing w:after="0" w:line="240" w:lineRule="auto"/>
      </w:pPr>
      <w:r>
        <w:separator/>
      </w:r>
    </w:p>
  </w:footnote>
  <w:footnote w:type="continuationSeparator" w:id="0">
    <w:p w14:paraId="621E284F" w14:textId="77777777" w:rsidR="003357C3" w:rsidRDefault="003357C3">
      <w:pPr>
        <w:spacing w:after="0" w:line="240" w:lineRule="auto"/>
      </w:pPr>
      <w:r>
        <w:continuationSeparator/>
      </w:r>
    </w:p>
  </w:footnote>
  <w:footnote w:id="1">
    <w:p w14:paraId="7C427ABD" w14:textId="116BDFF4" w:rsidR="00473ABD" w:rsidRDefault="00A557EC" w:rsidP="00B51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E+ programme guide-202</w:t>
      </w:r>
      <w:r w:rsidR="00B5124D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: </w:t>
      </w:r>
      <w:r w:rsidR="00B5124D" w:rsidRPr="00B5124D">
        <w:rPr>
          <w:color w:val="000000"/>
          <w:sz w:val="20"/>
          <w:szCs w:val="20"/>
        </w:rPr>
        <w:t>https://erasmus-plus.ec.europa.eu/sites/default/files/2023-11/2024-Erasmus%2BProgramme-Guide_HU.pdf</w:t>
      </w:r>
    </w:p>
  </w:footnote>
  <w:footnote w:id="2">
    <w:p w14:paraId="1D6BADB5" w14:textId="77777777" w:rsidR="00473ABD" w:rsidRDefault="00A55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További tájékozódási lehetőség a Főiskola SZMSZ-ében található, III.F. fejezetben: </w:t>
      </w:r>
      <w:hyperlink r:id="rId1">
        <w:r>
          <w:rPr>
            <w:color w:val="0000FF"/>
            <w:sz w:val="20"/>
            <w:szCs w:val="20"/>
            <w:u w:val="single"/>
          </w:rPr>
          <w:t>https://wesley.hu/letoltes/szervezeti-es-mukodesi-szabalyzat-2020-szeptember-2/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3">
    <w:p w14:paraId="46F3B4C5" w14:textId="77777777" w:rsidR="00473ABD" w:rsidRDefault="00A557E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A partnerországokba irányuló mobilitásokra szűkített támogatási kvóta érvényes: a program által támogatott összes mobilitás max. kb. 20%-a erejéig támogathatók a partnerországba irányuló mobilitások.</w:t>
      </w:r>
    </w:p>
  </w:footnote>
  <w:footnote w:id="4">
    <w:p w14:paraId="0E6AD65E" w14:textId="77777777" w:rsidR="00473ABD" w:rsidRDefault="00A557E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</w:p>
  </w:footnote>
  <w:footnote w:id="5">
    <w:p w14:paraId="33AE7DBC" w14:textId="77777777" w:rsidR="00473ABD" w:rsidRDefault="00A557E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Bármilyen hosszú, külföldi tanulmányi időszak vagy szakmai gyakorlat – többek között a doktori mobilitás – megvalósítható </w:t>
      </w:r>
      <w:r>
        <w:rPr>
          <w:b/>
          <w:sz w:val="20"/>
          <w:szCs w:val="20"/>
        </w:rPr>
        <w:t>vegyes</w:t>
      </w:r>
      <w:r>
        <w:rPr>
          <w:sz w:val="20"/>
          <w:szCs w:val="20"/>
        </w:rPr>
        <w:t>(részben fizikai, részben távolléti/virtuális)</w:t>
      </w:r>
      <w:r>
        <w:rPr>
          <w:b/>
          <w:sz w:val="20"/>
          <w:szCs w:val="20"/>
        </w:rPr>
        <w:t xml:space="preserve"> mobilitás </w:t>
      </w:r>
      <w:r>
        <w:rPr>
          <w:sz w:val="20"/>
          <w:szCs w:val="20"/>
        </w:rPr>
        <w:t xml:space="preserve">formájában. A vegyes mobilitás a fizikai mobilitás és egy virtuális elem kombinációja, amely elősegíti a kollaboratív online tanulást és csapatmunkát. A virtuális elem segítségével például a különböző országokból származó és különböző tanulmányi területeken tevékenykedő tanulók kapcsolatot teremthetnek online, és online kurzusokat végezhetnek, vagy közösen és egyszerre dolgozhatnak olyan feladatokon, amelyeket elismernek a tanulmányaik részeként. Teljesen fizikai mobilitásnak minősül, amikor a hallgató a mobilitása teljes idejét a fogadó országban tölti és onnan teljesíti (akár jelenléti oktatással/munkával, akár online oktatással/munkával) a mobilitási kötelezettségeit. Vegyesmobilitásnak minősül, amikor a hallgató a mobilitása idejét részben kint tölti (fizikai rész - minimum 2 hónap mind a szakmai gyakorlati mind a tanulmányi mobilitás esetén), részben itthonról (távolléti rész) teljesíti a mobilitási kötelezettségeit. Ösztöndíj azonban csak a fizikailag kint töltött időszakra jár!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1F22BE"/>
    <w:multiLevelType w:val="hybridMultilevel"/>
    <w:tmpl w:val="A7CFB0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846CF"/>
    <w:multiLevelType w:val="multilevel"/>
    <w:tmpl w:val="6B229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31531"/>
    <w:multiLevelType w:val="multilevel"/>
    <w:tmpl w:val="6C7C2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0E509F"/>
    <w:multiLevelType w:val="multilevel"/>
    <w:tmpl w:val="78000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0D7261"/>
    <w:multiLevelType w:val="multilevel"/>
    <w:tmpl w:val="8E96A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DE0FE9"/>
    <w:multiLevelType w:val="multilevel"/>
    <w:tmpl w:val="452C0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A411F6"/>
    <w:multiLevelType w:val="multilevel"/>
    <w:tmpl w:val="6C268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D158FE"/>
    <w:multiLevelType w:val="multilevel"/>
    <w:tmpl w:val="91CEEF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49DBDA5"/>
    <w:multiLevelType w:val="hybridMultilevel"/>
    <w:tmpl w:val="36A33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4A6636"/>
    <w:multiLevelType w:val="multilevel"/>
    <w:tmpl w:val="D804B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CF50FC"/>
    <w:multiLevelType w:val="multilevel"/>
    <w:tmpl w:val="2CD415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BD"/>
    <w:rsid w:val="00024FC0"/>
    <w:rsid w:val="003357C3"/>
    <w:rsid w:val="00473ABD"/>
    <w:rsid w:val="004C5765"/>
    <w:rsid w:val="00560A3A"/>
    <w:rsid w:val="00585074"/>
    <w:rsid w:val="008126C1"/>
    <w:rsid w:val="009D754E"/>
    <w:rsid w:val="00A557EC"/>
    <w:rsid w:val="00B5124D"/>
    <w:rsid w:val="00CA738F"/>
    <w:rsid w:val="00D53842"/>
    <w:rsid w:val="00E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86F6"/>
  <w15:docId w15:val="{D78297B3-16D0-438F-A542-CA3C4CD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u-HU" w:eastAsia="ro-RO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17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6C72"/>
  </w:style>
  <w:style w:type="paragraph" w:styleId="Subsol">
    <w:name w:val="footer"/>
    <w:basedOn w:val="Normal"/>
    <w:link w:val="SubsolCaracter"/>
    <w:uiPriority w:val="99"/>
    <w:unhideWhenUsed/>
    <w:rsid w:val="0017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6C72"/>
  </w:style>
  <w:style w:type="paragraph" w:customStyle="1" w:styleId="Default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C0320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C032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AC03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f">
    <w:name w:val="List Paragraph"/>
    <w:basedOn w:val="Normal"/>
    <w:uiPriority w:val="34"/>
    <w:qFormat/>
    <w:rsid w:val="002564C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4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77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20D71"/>
    <w:rPr>
      <w:color w:val="0000FF" w:themeColor="hyperlink"/>
      <w:u w:val="single"/>
    </w:rPr>
  </w:style>
  <w:style w:type="paragraph" w:styleId="Revizuire">
    <w:name w:val="Revision"/>
    <w:hidden/>
    <w:uiPriority w:val="99"/>
    <w:semiHidden/>
    <w:rsid w:val="00982D65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982D6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2D6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2D6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2D6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2D65"/>
    <w:rPr>
      <w:b/>
      <w:bCs/>
      <w:sz w:val="20"/>
      <w:szCs w:val="20"/>
    </w:rPr>
  </w:style>
  <w:style w:type="character" w:styleId="HyperlinkParcurs">
    <w:name w:val="FollowedHyperlink"/>
    <w:basedOn w:val="Fontdeparagrafimplicit"/>
    <w:uiPriority w:val="99"/>
    <w:semiHidden/>
    <w:unhideWhenUsed/>
    <w:rsid w:val="00FD56E9"/>
    <w:rPr>
      <w:color w:val="800080" w:themeColor="followedHyperlink"/>
      <w:u w:val="single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mobility@wjlf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rasmus-plus.ec.europa.eu/programme-guide/part-a/eligible-countr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sley.hu/letoltes/szervezeti-es-mukodesi-szabalyzat-2020-szeptember-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bpVPOnlOHlUR5ug/FgTVlo2rQ==">CgMxLjAyCGguZ2pkZ3hzOAByITE0ODZBd3hUOVkxbHhfU043RUpaend3VG1PSEYwSjhKSQ==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1336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Bagdi Timea</dc:creator>
  <cp:lastModifiedBy>Michaela Szász</cp:lastModifiedBy>
  <cp:revision>16</cp:revision>
  <dcterms:created xsi:type="dcterms:W3CDTF">2024-11-05T12:14:00Z</dcterms:created>
  <dcterms:modified xsi:type="dcterms:W3CDTF">2024-11-05T12:22:00Z</dcterms:modified>
</cp:coreProperties>
</file>