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E2974" w:rsidRPr="008F166C" w:rsidRDefault="003E2974" w:rsidP="003E2974">
      <w:pPr>
        <w:framePr w:w="1637" w:h="1389" w:hRule="exact" w:hSpace="141" w:wrap="auto" w:vAnchor="text" w:hAnchor="page" w:x="670" w:y="-370"/>
        <w:ind w:right="284"/>
        <w:rPr>
          <w:shd w:val="clear" w:color="auto" w:fill="FFFFFF"/>
        </w:rPr>
      </w:pPr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257175</wp:posOffset>
            </wp:positionV>
            <wp:extent cx="6381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78" y="20983"/>
                <wp:lineTo x="21278" y="0"/>
                <wp:lineTo x="0" y="0"/>
              </wp:wrapPolygon>
            </wp:wrapTight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974" w:rsidRPr="008F166C" w:rsidRDefault="003E2974" w:rsidP="003E2974">
      <w:pPr>
        <w:pBdr>
          <w:bottom w:val="single" w:sz="2" w:space="2" w:color="auto"/>
        </w:pBdr>
        <w:jc w:val="center"/>
        <w:rPr>
          <w:b/>
          <w:bCs/>
          <w:caps/>
          <w:sz w:val="20"/>
          <w:szCs w:val="20"/>
          <w:shd w:val="clear" w:color="auto" w:fill="FFFFFF"/>
        </w:rPr>
      </w:pPr>
      <w:r w:rsidRPr="008F166C">
        <w:rPr>
          <w:b/>
          <w:bCs/>
          <w:caps/>
          <w:sz w:val="20"/>
          <w:szCs w:val="20"/>
          <w:shd w:val="clear" w:color="auto" w:fill="FFFFFF"/>
        </w:rPr>
        <w:t>Wesley János Lelkészképző Főiskola</w:t>
      </w:r>
    </w:p>
    <w:p w:rsidR="003E2974" w:rsidRPr="008F166C" w:rsidRDefault="003E2974" w:rsidP="003E2974">
      <w:pPr>
        <w:pStyle w:val="Cmsor4"/>
        <w:ind w:right="0"/>
        <w:jc w:val="center"/>
        <w:rPr>
          <w:caps/>
          <w:sz w:val="20"/>
          <w:szCs w:val="20"/>
          <w:shd w:val="clear" w:color="auto" w:fill="FFFFFF"/>
        </w:rPr>
      </w:pPr>
      <w:r w:rsidRPr="008F166C">
        <w:rPr>
          <w:caps/>
          <w:sz w:val="20"/>
          <w:szCs w:val="20"/>
          <w:shd w:val="clear" w:color="auto" w:fill="FFFFFF"/>
        </w:rPr>
        <w:t>Szociális munka szak</w:t>
      </w:r>
    </w:p>
    <w:p w:rsidR="00000000" w:rsidRDefault="005707A3">
      <w:pPr>
        <w:jc w:val="center"/>
      </w:pPr>
    </w:p>
    <w:p w:rsidR="00000000" w:rsidRDefault="005707A3">
      <w:pPr>
        <w:jc w:val="center"/>
      </w:pPr>
    </w:p>
    <w:p w:rsidR="00000000" w:rsidRDefault="005707A3">
      <w:pPr>
        <w:jc w:val="center"/>
        <w:rPr>
          <w:color w:val="333399"/>
          <w:sz w:val="12"/>
          <w:szCs w:val="12"/>
        </w:rPr>
      </w:pPr>
      <w:r>
        <w:t>TANTÁRGYI ADATLAP</w:t>
      </w:r>
    </w:p>
    <w:p w:rsidR="00000000" w:rsidRDefault="005707A3">
      <w:pPr>
        <w:rPr>
          <w:color w:val="333399"/>
          <w:sz w:val="12"/>
          <w:szCs w:val="12"/>
        </w:rPr>
      </w:pPr>
    </w:p>
    <w:tbl>
      <w:tblPr>
        <w:tblW w:w="935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692"/>
        <w:gridCol w:w="4395"/>
        <w:gridCol w:w="2269"/>
      </w:tblGrid>
      <w:tr w:rsidR="00000000" w:rsidTr="003E2974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5707A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Tantárgykód: SMAV365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5707A3">
            <w:pPr>
              <w:spacing w:before="60"/>
              <w:jc w:val="both"/>
            </w:pPr>
            <w:r>
              <w:rPr>
                <w:b/>
                <w:sz w:val="22"/>
                <w:szCs w:val="22"/>
              </w:rPr>
              <w:t>Tantárgynév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Kortárs társadalomfilozófia</w:t>
            </w:r>
            <w:r w:rsidR="003E2974">
              <w:rPr>
                <w:b/>
                <w:sz w:val="22"/>
                <w:szCs w:val="22"/>
              </w:rPr>
              <w:t xml:space="preserve"> szeminárium</w:t>
            </w:r>
          </w:p>
        </w:tc>
      </w:tr>
      <w:tr w:rsidR="00000000" w:rsidTr="003E2974"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5707A3" w:rsidP="003E2974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tantárgy </w:t>
            </w:r>
            <w:r>
              <w:rPr>
                <w:b/>
                <w:sz w:val="22"/>
                <w:szCs w:val="22"/>
              </w:rPr>
              <w:t>besorolása</w:t>
            </w:r>
            <w:r w:rsidR="003E2974"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választható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5707A3">
            <w:pPr>
              <w:spacing w:before="60"/>
              <w:jc w:val="both"/>
            </w:pPr>
            <w:r>
              <w:rPr>
                <w:b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reditértéke: 2</w:t>
            </w:r>
          </w:p>
        </w:tc>
      </w:tr>
      <w:tr w:rsidR="00000000" w:rsidTr="003E2974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5707A3">
            <w:pPr>
              <w:spacing w:before="60"/>
              <w:jc w:val="both"/>
            </w:pPr>
            <w:r>
              <w:rPr>
                <w:b/>
                <w:sz w:val="22"/>
                <w:szCs w:val="22"/>
              </w:rPr>
              <w:t>A tantárgy elméleti vagy gy</w:t>
            </w:r>
            <w:r>
              <w:rPr>
                <w:b/>
                <w:sz w:val="22"/>
                <w:szCs w:val="22"/>
              </w:rPr>
              <w:t>akorlati jellegének mértéke, „képzési karaktere”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 xml:space="preserve">….. </w:t>
            </w:r>
            <w:r>
              <w:rPr>
                <w:sz w:val="22"/>
                <w:szCs w:val="22"/>
              </w:rPr>
              <w:t>(kredit%)</w:t>
            </w:r>
          </w:p>
        </w:tc>
      </w:tr>
      <w:tr w:rsidR="00000000" w:rsidTr="003E2974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5707A3" w:rsidP="003E2974">
            <w:pPr>
              <w:spacing w:before="40" w:after="40"/>
              <w:jc w:val="both"/>
            </w:pPr>
            <w:r>
              <w:rPr>
                <w:sz w:val="22"/>
                <w:szCs w:val="22"/>
              </w:rPr>
              <w:t xml:space="preserve">A </w:t>
            </w:r>
            <w:r>
              <w:rPr>
                <w:b/>
                <w:sz w:val="22"/>
                <w:szCs w:val="22"/>
              </w:rPr>
              <w:t>tanóra</w:t>
            </w:r>
            <w:r>
              <w:rPr>
                <w:rStyle w:val="Lbjegyzet-hivatkozs"/>
              </w:rPr>
              <w:footnoteReference w:id="1"/>
            </w:r>
            <w:r>
              <w:rPr>
                <w:b/>
                <w:sz w:val="22"/>
                <w:szCs w:val="22"/>
              </w:rPr>
              <w:t xml:space="preserve"> típusa</w:t>
            </w:r>
            <w:r>
              <w:rPr>
                <w:sz w:val="22"/>
                <w:szCs w:val="22"/>
              </w:rPr>
              <w:t xml:space="preserve">: </w:t>
            </w:r>
            <w:r w:rsidR="003E2974">
              <w:rPr>
                <w:sz w:val="22"/>
                <w:szCs w:val="22"/>
              </w:rPr>
              <w:t>szeminárium</w:t>
            </w:r>
          </w:p>
        </w:tc>
      </w:tr>
      <w:tr w:rsidR="00000000" w:rsidTr="003E2974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5707A3" w:rsidP="003E2974">
            <w:r>
              <w:rPr>
                <w:sz w:val="22"/>
                <w:szCs w:val="22"/>
              </w:rPr>
              <w:t xml:space="preserve">A tantárgy </w:t>
            </w:r>
            <w:r>
              <w:rPr>
                <w:b/>
                <w:sz w:val="22"/>
                <w:szCs w:val="22"/>
              </w:rPr>
              <w:t>tantervi helye</w:t>
            </w:r>
            <w:r>
              <w:rPr>
                <w:sz w:val="22"/>
                <w:szCs w:val="22"/>
              </w:rPr>
              <w:t xml:space="preserve"> (hányadik félév): </w:t>
            </w:r>
            <w:r w:rsidR="003E2974">
              <w:rPr>
                <w:b/>
                <w:sz w:val="22"/>
                <w:szCs w:val="22"/>
              </w:rPr>
              <w:t>6.</w:t>
            </w:r>
          </w:p>
        </w:tc>
      </w:tr>
      <w:tr w:rsidR="00000000" w:rsidTr="003E2974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5707A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tantárgy </w:t>
            </w:r>
            <w:r>
              <w:rPr>
                <w:b/>
                <w:sz w:val="22"/>
                <w:szCs w:val="22"/>
              </w:rPr>
              <w:t>óraszáma</w:t>
            </w:r>
            <w:r>
              <w:rPr>
                <w:sz w:val="22"/>
                <w:szCs w:val="22"/>
              </w:rPr>
              <w:t xml:space="preserve"> az adott félévben: </w:t>
            </w:r>
          </w:p>
          <w:p w:rsidR="00000000" w:rsidRDefault="005707A3">
            <w:pPr>
              <w:ind w:left="283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nappali tagozaton </w:t>
            </w:r>
            <w:r w:rsidR="003E297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tanóra/ hét</w:t>
            </w:r>
          </w:p>
          <w:p w:rsidR="00000000" w:rsidRDefault="005707A3" w:rsidP="003E2974">
            <w:pPr>
              <w:ind w:left="2835"/>
              <w:jc w:val="both"/>
            </w:pPr>
            <w:r>
              <w:rPr>
                <w:b/>
                <w:sz w:val="22"/>
                <w:szCs w:val="22"/>
              </w:rPr>
              <w:t xml:space="preserve">levelező tagozaton </w:t>
            </w:r>
            <w:r w:rsidR="003E2974"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</w:rPr>
              <w:t xml:space="preserve"> tanór</w:t>
            </w:r>
            <w:r>
              <w:rPr>
                <w:b/>
                <w:sz w:val="22"/>
                <w:szCs w:val="22"/>
              </w:rPr>
              <w:t>a/félév</w:t>
            </w:r>
          </w:p>
        </w:tc>
      </w:tr>
      <w:tr w:rsidR="00000000" w:rsidTr="003E2974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5707A3">
            <w:pPr>
              <w:spacing w:before="60"/>
              <w:jc w:val="both"/>
            </w:pPr>
            <w:r>
              <w:rPr>
                <w:sz w:val="22"/>
                <w:szCs w:val="22"/>
              </w:rPr>
              <w:t xml:space="preserve">Az adott ismeret átadásában alkalmazandó </w:t>
            </w:r>
            <w:r>
              <w:rPr>
                <w:b/>
                <w:sz w:val="22"/>
                <w:szCs w:val="22"/>
              </w:rPr>
              <w:t>további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i/>
                <w:sz w:val="22"/>
                <w:szCs w:val="22"/>
              </w:rPr>
              <w:t>sajátos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b/>
                <w:sz w:val="22"/>
                <w:szCs w:val="22"/>
              </w:rPr>
              <w:t>módok, jellemzők</w:t>
            </w:r>
            <w:r>
              <w:rPr>
                <w:rStyle w:val="Lbjegyzet-hivatkozs"/>
              </w:rPr>
              <w:footnoteReference w:id="2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1"/>
                <w:szCs w:val="21"/>
              </w:rPr>
              <w:t>(ha vannak)</w:t>
            </w:r>
            <w:r>
              <w:rPr>
                <w:i/>
                <w:sz w:val="22"/>
                <w:szCs w:val="22"/>
              </w:rPr>
              <w:t>:</w:t>
            </w:r>
          </w:p>
        </w:tc>
      </w:tr>
      <w:tr w:rsidR="00000000" w:rsidTr="003E2974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Pr="003E2974" w:rsidRDefault="005707A3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>
              <w:rPr>
                <w:b/>
                <w:sz w:val="22"/>
                <w:szCs w:val="22"/>
              </w:rPr>
              <w:t xml:space="preserve">számonkérés </w:t>
            </w:r>
            <w:r>
              <w:rPr>
                <w:sz w:val="22"/>
                <w:szCs w:val="22"/>
              </w:rPr>
              <w:t xml:space="preserve">módja (vizsga/évközi ellenőrzés/ </w:t>
            </w:r>
            <w:r>
              <w:rPr>
                <w:b/>
                <w:sz w:val="22"/>
                <w:szCs w:val="22"/>
              </w:rPr>
              <w:t>egyéb</w:t>
            </w:r>
            <w:r>
              <w:rPr>
                <w:rStyle w:val="Lbjegyzet-hivatkozs"/>
              </w:rPr>
              <w:footnoteReference w:id="3"/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: </w:t>
            </w:r>
            <w:r w:rsidRPr="003E2974">
              <w:rPr>
                <w:b/>
                <w:sz w:val="22"/>
                <w:szCs w:val="22"/>
              </w:rPr>
              <w:t>órai munka, félév végén zárthelyi dolgozat</w:t>
            </w:r>
          </w:p>
          <w:p w:rsidR="00000000" w:rsidRDefault="005707A3">
            <w:pPr>
              <w:spacing w:before="60"/>
              <w:jc w:val="both"/>
            </w:pPr>
            <w:r>
              <w:rPr>
                <w:sz w:val="22"/>
                <w:szCs w:val="22"/>
              </w:rPr>
              <w:t xml:space="preserve">Az ismeretellenőrzésben alkalmazandó </w:t>
            </w:r>
            <w:r>
              <w:rPr>
                <w:b/>
                <w:sz w:val="22"/>
                <w:szCs w:val="22"/>
              </w:rPr>
              <w:t xml:space="preserve">további 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sajátos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b/>
                <w:sz w:val="22"/>
                <w:szCs w:val="22"/>
              </w:rPr>
              <w:t>mó</w:t>
            </w:r>
            <w:r>
              <w:rPr>
                <w:b/>
                <w:sz w:val="22"/>
                <w:szCs w:val="22"/>
              </w:rPr>
              <w:t>dok</w:t>
            </w:r>
            <w:r>
              <w:rPr>
                <w:rStyle w:val="Lbjegyzet-hivatkozs"/>
              </w:rPr>
              <w:footnoteReference w:id="4"/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i/>
                <w:sz w:val="21"/>
                <w:szCs w:val="21"/>
              </w:rPr>
              <w:t>(ha vannak)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………………………..</w:t>
            </w:r>
          </w:p>
        </w:tc>
      </w:tr>
      <w:tr w:rsidR="00000000" w:rsidTr="003E2974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5707A3">
            <w:pPr>
              <w:jc w:val="both"/>
              <w:rPr>
                <w:sz w:val="22"/>
                <w:szCs w:val="22"/>
              </w:rPr>
            </w:pPr>
          </w:p>
        </w:tc>
      </w:tr>
      <w:tr w:rsidR="00000000" w:rsidTr="003E2974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5707A3">
            <w:pPr>
              <w:jc w:val="both"/>
            </w:pPr>
            <w:r>
              <w:rPr>
                <w:sz w:val="22"/>
                <w:szCs w:val="22"/>
              </w:rPr>
              <w:t xml:space="preserve">Előtanulmányi feltételek </w:t>
            </w:r>
            <w:r>
              <w:rPr>
                <w:i/>
                <w:sz w:val="22"/>
                <w:szCs w:val="22"/>
              </w:rPr>
              <w:t>(ha vannak)</w:t>
            </w:r>
            <w:r>
              <w:rPr>
                <w:sz w:val="22"/>
                <w:szCs w:val="22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……………..</w:t>
            </w:r>
          </w:p>
        </w:tc>
      </w:tr>
    </w:tbl>
    <w:p w:rsidR="00000000" w:rsidRDefault="005707A3">
      <w:pPr>
        <w:rPr>
          <w:sz w:val="2"/>
          <w:szCs w:val="2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00000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5707A3">
            <w:pPr>
              <w:spacing w:before="60"/>
              <w:jc w:val="both"/>
            </w:pPr>
            <w:r>
              <w:rPr>
                <w:b/>
                <w:sz w:val="22"/>
                <w:szCs w:val="22"/>
              </w:rPr>
              <w:t>Tantárgy-leírás</w:t>
            </w:r>
            <w:r>
              <w:rPr>
                <w:sz w:val="22"/>
                <w:szCs w:val="22"/>
              </w:rPr>
              <w:t xml:space="preserve">: az elsajátítandó </w:t>
            </w:r>
            <w:r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000000">
        <w:trPr>
          <w:trHeight w:val="28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5707A3">
            <w:pPr>
              <w:ind w:left="34"/>
            </w:pPr>
            <w:r>
              <w:rPr>
                <w:sz w:val="22"/>
                <w:szCs w:val="22"/>
              </w:rPr>
              <w:t>A kurzus során a klasszikus társadalomfilozófiai szövegek mellett és azok háttere előtt meg</w:t>
            </w:r>
            <w:r>
              <w:rPr>
                <w:sz w:val="22"/>
                <w:szCs w:val="22"/>
              </w:rPr>
              <w:t xml:space="preserve">ismerkedünk néhány 20. századi és kortárs társadalomfilozófiai irányzattal. A cél az, hogy a hallgatók képet kapjanak a kortárs társadalomfilozófiai és politikafilozófiai vitákról, azok elméleti hátteréről. </w:t>
            </w:r>
          </w:p>
        </w:tc>
      </w:tr>
      <w:tr w:rsidR="0000000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707A3">
            <w:pPr>
              <w:ind w:right="-108"/>
            </w:pPr>
            <w:r>
              <w:rPr>
                <w:b/>
                <w:sz w:val="22"/>
                <w:szCs w:val="22"/>
              </w:rPr>
              <w:t xml:space="preserve">Kötelező irodalom </w:t>
            </w:r>
            <w:r>
              <w:rPr>
                <w:sz w:val="22"/>
                <w:szCs w:val="22"/>
              </w:rPr>
              <w:t>felsorolása bibliográfiai ada</w:t>
            </w:r>
            <w:r>
              <w:rPr>
                <w:sz w:val="22"/>
                <w:szCs w:val="22"/>
              </w:rPr>
              <w:t>tokkal (szerző, cím, kiadás adatai, (esetleg oldalak))</w:t>
            </w:r>
          </w:p>
        </w:tc>
      </w:tr>
      <w:tr w:rsidR="0000000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707A3">
            <w:pPr>
              <w:pStyle w:val="Szvegtrzs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 Weber: A protestáns etika és a kapitalizmus szelleme, Előszó, in: uő: A protestáns etika és a kapitalizmus szelleme, Gondolat, Budapest, 1980 [ISBN 963 280 756 1], 7-26. o.</w:t>
            </w:r>
          </w:p>
          <w:p w:rsidR="00000000" w:rsidRDefault="005707A3">
            <w:pPr>
              <w:pStyle w:val="Szvegtrzs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Walter Benjamin: A tört</w:t>
            </w:r>
            <w:r>
              <w:rPr>
                <w:sz w:val="22"/>
                <w:szCs w:val="22"/>
              </w:rPr>
              <w:t>énelem fogalmáról [Történelemfilozófiai tézisek], in: Uő: Angelus novus, Budapest, 959-973. o.</w:t>
            </w:r>
          </w:p>
          <w:p w:rsidR="00000000" w:rsidRDefault="005707A3">
            <w:pPr>
              <w:pStyle w:val="Szvegtrzs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Horkheimer–Adorno: A felvilágosodás dialektikája, Előszó, Budapest, Atlantisz Kiadó, 2011, 9-18. o.</w:t>
            </w:r>
          </w:p>
          <w:p w:rsidR="00000000" w:rsidRDefault="005707A3">
            <w:pPr>
              <w:pStyle w:val="Szvegtrzs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Habermas: Legitimációs problémák a modern államban. In: uő: V</w:t>
            </w:r>
            <w:r>
              <w:rPr>
                <w:sz w:val="22"/>
                <w:szCs w:val="22"/>
              </w:rPr>
              <w:t>álogatott tanulmányok, Budapest, Atlantisz, 1994 [ISBN: 963797847X], 223-258.</w:t>
            </w:r>
          </w:p>
          <w:p w:rsidR="00000000" w:rsidRDefault="005707A3">
            <w:pPr>
              <w:pStyle w:val="Szvegtrzs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Foucault: A bolondság története. A nagy elzárás, in: uő: A bolondság története, Budapest, Atlantisz, 2004 [ISBN 963 9165 76 X], 69-116. o.</w:t>
            </w:r>
          </w:p>
          <w:p w:rsidR="00000000" w:rsidRDefault="005707A3">
            <w:pPr>
              <w:pStyle w:val="Szvegtrzs"/>
              <w:ind w:left="34"/>
            </w:pPr>
            <w:r>
              <w:rPr>
                <w:sz w:val="22"/>
                <w:szCs w:val="22"/>
              </w:rPr>
              <w:t xml:space="preserve">Foucault: Mi a felvilágosodás? In: Uő: </w:t>
            </w:r>
            <w:r>
              <w:rPr>
                <w:sz w:val="22"/>
                <w:szCs w:val="22"/>
              </w:rPr>
              <w:t>A modernség politikai-filozófiai dilemmái, a felvilágosodáson innen  és túl, Budapest, MTA Szociológiai Kutatóintézete, 1991., 87-114. o.</w:t>
            </w:r>
          </w:p>
        </w:tc>
      </w:tr>
      <w:tr w:rsidR="0000000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707A3">
            <w:pPr>
              <w:jc w:val="both"/>
            </w:pPr>
            <w:r>
              <w:rPr>
                <w:b/>
                <w:sz w:val="22"/>
                <w:szCs w:val="22"/>
              </w:rPr>
              <w:t xml:space="preserve">Ajánlott irodalom </w:t>
            </w:r>
            <w:r>
              <w:rPr>
                <w:sz w:val="22"/>
                <w:szCs w:val="22"/>
              </w:rPr>
              <w:t>felsorolása bibliográfiai adatokkal (szerző, cím, kiadás adatai, (esetleg oldalak))</w:t>
            </w:r>
          </w:p>
        </w:tc>
      </w:tr>
      <w:tr w:rsidR="0000000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707A3">
            <w:pPr>
              <w:pStyle w:val="Szvegtrzs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Rawls: A jog u</w:t>
            </w:r>
            <w:r>
              <w:rPr>
                <w:sz w:val="22"/>
                <w:szCs w:val="22"/>
              </w:rPr>
              <w:t>ralma az igazságosság elméletében. In: Joguralom és jogállam. Osiris Kiadó, Budapest, 1995. 247-273.</w:t>
            </w:r>
          </w:p>
          <w:p w:rsidR="00000000" w:rsidRDefault="005707A3">
            <w:pPr>
              <w:pStyle w:val="Szvegtrzs"/>
              <w:spacing w:after="0"/>
              <w:jc w:val="both"/>
            </w:pPr>
            <w:r>
              <w:rPr>
                <w:sz w:val="22"/>
                <w:szCs w:val="22"/>
              </w:rPr>
              <w:t xml:space="preserve">Foucault: Felügyelet és büntetés, Budapest, Gondolat, 1990 [ISBN 9632823354], Az általánossá vált </w:t>
            </w:r>
            <w:r>
              <w:rPr>
                <w:sz w:val="22"/>
                <w:szCs w:val="22"/>
              </w:rPr>
              <w:lastRenderedPageBreak/>
              <w:t xml:space="preserve">büntetés, 99-136 </w:t>
            </w:r>
          </w:p>
        </w:tc>
      </w:tr>
      <w:tr w:rsidR="0000000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707A3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Azoknak az </w:t>
            </w:r>
            <w:r>
              <w:rPr>
                <w:b/>
                <w:sz w:val="22"/>
                <w:szCs w:val="22"/>
              </w:rPr>
              <w:t>előírt</w:t>
            </w:r>
            <w:r>
              <w:rPr>
                <w:sz w:val="22"/>
                <w:szCs w:val="22"/>
              </w:rPr>
              <w:t xml:space="preserve"> s</w:t>
            </w:r>
            <w:r>
              <w:rPr>
                <w:b/>
                <w:sz w:val="22"/>
                <w:szCs w:val="22"/>
              </w:rPr>
              <w:t>zakmai kompetenciák</w:t>
            </w:r>
            <w:r>
              <w:rPr>
                <w:b/>
                <w:sz w:val="22"/>
                <w:szCs w:val="22"/>
              </w:rPr>
              <w:t>nak, kompetencia-elemeknek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i/>
              </w:rPr>
              <w:t>(tudás, képesség</w:t>
            </w:r>
            <w:r>
              <w:t xml:space="preserve"> stb., </w:t>
            </w:r>
            <w:r>
              <w:rPr>
                <w:i/>
              </w:rPr>
              <w:t xml:space="preserve">KKK </w:t>
            </w:r>
            <w:r>
              <w:rPr>
                <w:b/>
                <w:i/>
              </w:rPr>
              <w:t>7.</w:t>
            </w:r>
            <w:r>
              <w:rPr>
                <w:i/>
              </w:rPr>
              <w:t xml:space="preserve"> pont</w:t>
            </w:r>
            <w:r>
              <w:t xml:space="preserve">) </w:t>
            </w:r>
            <w:r>
              <w:rPr>
                <w:sz w:val="22"/>
                <w:szCs w:val="22"/>
              </w:rPr>
              <w:t xml:space="preserve">a felsorolása, </w:t>
            </w:r>
            <w:r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000000">
        <w:trPr>
          <w:trHeight w:val="29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5707A3">
            <w:pPr>
              <w:ind w:left="34"/>
              <w:rPr>
                <w:b/>
                <w:sz w:val="22"/>
                <w:szCs w:val="22"/>
              </w:rPr>
            </w:pPr>
            <w:r>
              <w:rPr>
                <w:i/>
                <w:shd w:val="clear" w:color="auto" w:fill="C0C0C0"/>
              </w:rPr>
              <w:t>pl.:</w:t>
            </w:r>
            <w:r>
              <w:rPr>
                <w:i/>
              </w:rPr>
              <w:t xml:space="preserve"> </w:t>
            </w:r>
          </w:p>
          <w:p w:rsidR="00000000" w:rsidRDefault="005707A3">
            <w:pPr>
              <w:numPr>
                <w:ilvl w:val="0"/>
                <w:numId w:val="2"/>
              </w:numPr>
              <w:tabs>
                <w:tab w:val="left" w:pos="317"/>
              </w:tabs>
              <w:ind w:left="176" w:hanging="14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tudása</w:t>
            </w:r>
          </w:p>
          <w:p w:rsidR="00000000" w:rsidRDefault="005707A3">
            <w:pPr>
              <w:numPr>
                <w:ilvl w:val="0"/>
                <w:numId w:val="3"/>
              </w:numPr>
              <w:tabs>
                <w:tab w:val="left" w:pos="317"/>
              </w:tabs>
              <w:ind w:left="17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fogalmak, elméletek ismerete</w:t>
            </w:r>
          </w:p>
          <w:p w:rsidR="00000000" w:rsidRDefault="005707A3">
            <w:pPr>
              <w:numPr>
                <w:ilvl w:val="0"/>
                <w:numId w:val="3"/>
              </w:numPr>
              <w:tabs>
                <w:tab w:val="left" w:pos="317"/>
              </w:tabs>
              <w:ind w:left="176"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társadalompolitikai ismeretek és összefüggések ismerete/értése</w:t>
            </w:r>
          </w:p>
          <w:p w:rsidR="00000000" w:rsidRDefault="005707A3">
            <w:pPr>
              <w:numPr>
                <w:ilvl w:val="0"/>
                <w:numId w:val="2"/>
              </w:numPr>
              <w:tabs>
                <w:tab w:val="left" w:pos="317"/>
              </w:tabs>
              <w:ind w:left="176" w:hanging="142"/>
              <w:rPr>
                <w:rStyle w:val="Bekezdsalapbettpusa1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képess</w:t>
            </w:r>
            <w:r>
              <w:rPr>
                <w:b/>
                <w:sz w:val="22"/>
                <w:szCs w:val="22"/>
              </w:rPr>
              <w:t>égei</w:t>
            </w:r>
          </w:p>
          <w:p w:rsidR="00000000" w:rsidRDefault="005707A3">
            <w:pPr>
              <w:tabs>
                <w:tab w:val="left" w:pos="317"/>
              </w:tabs>
              <w:ind w:left="176"/>
            </w:pPr>
            <w:r>
              <w:rPr>
                <w:rStyle w:val="Bekezdsalapbettpusa1"/>
                <w:sz w:val="22"/>
                <w:szCs w:val="22"/>
              </w:rPr>
              <w:t>- kritikus gondolkodás, reflexió, folyamatok átlátása</w:t>
            </w:r>
          </w:p>
        </w:tc>
      </w:tr>
    </w:tbl>
    <w:p w:rsidR="00000000" w:rsidRDefault="005707A3">
      <w:pPr>
        <w:rPr>
          <w:sz w:val="2"/>
          <w:szCs w:val="2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000000">
        <w:trPr>
          <w:trHeight w:val="338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5707A3" w:rsidP="003E2974">
            <w:pPr>
              <w:spacing w:before="60"/>
              <w:jc w:val="both"/>
            </w:pPr>
            <w:r>
              <w:rPr>
                <w:b/>
                <w:sz w:val="22"/>
                <w:szCs w:val="22"/>
              </w:rPr>
              <w:t>Tantárgyfelelős</w:t>
            </w:r>
            <w:r w:rsidR="003E2974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Blandl Borbála PhD</w:t>
            </w:r>
          </w:p>
        </w:tc>
      </w:tr>
      <w:tr w:rsidR="00000000">
        <w:trPr>
          <w:trHeight w:val="33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5707A3" w:rsidP="003E2974">
            <w:pPr>
              <w:spacing w:before="60"/>
              <w:jc w:val="both"/>
            </w:pPr>
            <w:r>
              <w:rPr>
                <w:b/>
                <w:sz w:val="22"/>
                <w:szCs w:val="22"/>
              </w:rPr>
              <w:t>Oktató(k</w:t>
            </w:r>
            <w:r>
              <w:rPr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: Blandl Borbála PhD</w:t>
            </w:r>
          </w:p>
        </w:tc>
      </w:tr>
      <w:tr w:rsidR="00000000">
        <w:trPr>
          <w:trHeight w:val="33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5707A3">
            <w:pPr>
              <w:spacing w:before="60"/>
              <w:jc w:val="both"/>
            </w:pPr>
            <w:r>
              <w:rPr>
                <w:b/>
                <w:sz w:val="22"/>
                <w:szCs w:val="22"/>
              </w:rPr>
              <w:t>A t</w:t>
            </w:r>
            <w:r w:rsidR="003E2974">
              <w:rPr>
                <w:b/>
                <w:sz w:val="22"/>
                <w:szCs w:val="22"/>
              </w:rPr>
              <w:t xml:space="preserve">antárgyi adatlapot jóváhagyta: </w:t>
            </w:r>
            <w:r>
              <w:rPr>
                <w:b/>
                <w:sz w:val="22"/>
                <w:szCs w:val="22"/>
              </w:rPr>
              <w:t>Udvari Kerstin PhD tanszékvezető</w:t>
            </w:r>
          </w:p>
        </w:tc>
      </w:tr>
    </w:tbl>
    <w:p w:rsidR="005707A3" w:rsidRDefault="005707A3"/>
    <w:sectPr w:rsidR="005707A3" w:rsidSect="003E2974">
      <w:pgSz w:w="12240" w:h="15840"/>
      <w:pgMar w:top="851" w:right="1800" w:bottom="1440" w:left="1800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7A3" w:rsidRDefault="005707A3">
      <w:r>
        <w:separator/>
      </w:r>
    </w:p>
  </w:endnote>
  <w:endnote w:type="continuationSeparator" w:id="0">
    <w:p w:rsidR="005707A3" w:rsidRDefault="0057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7A3" w:rsidRDefault="005707A3">
      <w:r>
        <w:separator/>
      </w:r>
    </w:p>
  </w:footnote>
  <w:footnote w:type="continuationSeparator" w:id="0">
    <w:p w:rsidR="005707A3" w:rsidRDefault="005707A3">
      <w:r>
        <w:continuationSeparator/>
      </w:r>
    </w:p>
  </w:footnote>
  <w:footnote w:id="1">
    <w:p w:rsidR="00000000" w:rsidRPr="003E2974" w:rsidRDefault="005707A3" w:rsidP="003E2974">
      <w:pPr>
        <w:rPr>
          <w:sz w:val="20"/>
          <w:szCs w:val="20"/>
        </w:rPr>
      </w:pPr>
      <w:r w:rsidRPr="003E2974">
        <w:rPr>
          <w:rStyle w:val="Lbjegyzet-karakterek"/>
          <w:sz w:val="20"/>
          <w:szCs w:val="20"/>
        </w:rPr>
        <w:footnoteRef/>
      </w:r>
      <w:r w:rsidRPr="003E2974">
        <w:rPr>
          <w:b/>
          <w:sz w:val="20"/>
          <w:szCs w:val="20"/>
        </w:rPr>
        <w:t>N</w:t>
      </w:r>
      <w:r w:rsidRPr="003E2974">
        <w:rPr>
          <w:b/>
          <w:bCs/>
          <w:sz w:val="20"/>
          <w:szCs w:val="20"/>
        </w:rPr>
        <w:t xml:space="preserve">ftv. 108. § </w:t>
      </w:r>
      <w:r w:rsidRPr="003E2974">
        <w:rPr>
          <w:sz w:val="20"/>
          <w:szCs w:val="20"/>
        </w:rPr>
        <w:t>37.</w:t>
      </w:r>
      <w:r w:rsidRPr="003E2974">
        <w:rPr>
          <w:i/>
          <w:sz w:val="20"/>
          <w:szCs w:val="20"/>
        </w:rPr>
        <w:t xml:space="preserve"> tanóra</w:t>
      </w:r>
      <w:r w:rsidRPr="003E2974">
        <w:rPr>
          <w:sz w:val="20"/>
          <w:szCs w:val="20"/>
        </w:rPr>
        <w:t>: a tantervben meghatározott tanulmányi követelmények teljesítéséhez az oktató személyes közreműködését igénylő foglalkozás (előadás, szeminárium, gyakorlat, konzultáció), amelynek időtartama legalább negyvenöt, legfeljebb h</w:t>
      </w:r>
      <w:r w:rsidRPr="003E2974">
        <w:rPr>
          <w:sz w:val="20"/>
          <w:szCs w:val="20"/>
        </w:rPr>
        <w:t xml:space="preserve">atvan perc. </w:t>
      </w:r>
    </w:p>
  </w:footnote>
  <w:footnote w:id="2">
    <w:p w:rsidR="00000000" w:rsidRPr="003E2974" w:rsidRDefault="005707A3" w:rsidP="003E2974">
      <w:pPr>
        <w:rPr>
          <w:sz w:val="20"/>
          <w:szCs w:val="20"/>
        </w:rPr>
      </w:pPr>
      <w:r w:rsidRPr="003E2974">
        <w:rPr>
          <w:rStyle w:val="Lbjegyzet-karakterek"/>
          <w:sz w:val="20"/>
          <w:szCs w:val="20"/>
        </w:rPr>
        <w:footnoteRef/>
      </w:r>
      <w:r w:rsidRPr="003E2974">
        <w:rPr>
          <w:sz w:val="20"/>
          <w:szCs w:val="20"/>
        </w:rPr>
        <w:t>pl. esetismertetések, szerepjáték, tematikus prezentációk stb.</w:t>
      </w:r>
    </w:p>
  </w:footnote>
  <w:footnote w:id="3">
    <w:p w:rsidR="00000000" w:rsidRPr="003E2974" w:rsidRDefault="005707A3" w:rsidP="003E2974">
      <w:pPr>
        <w:rPr>
          <w:sz w:val="20"/>
          <w:szCs w:val="20"/>
        </w:rPr>
      </w:pPr>
      <w:r w:rsidRPr="003E2974">
        <w:rPr>
          <w:rStyle w:val="Lbjegyzet-karakterek"/>
          <w:sz w:val="20"/>
          <w:szCs w:val="20"/>
        </w:rPr>
        <w:footnoteRef/>
      </w:r>
      <w:r w:rsidRPr="003E2974">
        <w:rPr>
          <w:sz w:val="20"/>
          <w:szCs w:val="20"/>
        </w:rPr>
        <w:t>pl. folyamatos számonkérés, évközi beszámoló</w:t>
      </w:r>
    </w:p>
  </w:footnote>
  <w:footnote w:id="4">
    <w:p w:rsidR="00000000" w:rsidRDefault="005707A3" w:rsidP="003E2974">
      <w:r w:rsidRPr="003E2974">
        <w:rPr>
          <w:rStyle w:val="Lbjegyzet-karakterek"/>
          <w:sz w:val="20"/>
          <w:szCs w:val="20"/>
        </w:rPr>
        <w:footnoteRef/>
      </w:r>
      <w:r w:rsidRPr="003E2974">
        <w:rPr>
          <w:sz w:val="20"/>
          <w:szCs w:val="20"/>
        </w:rPr>
        <w:t>pl. esettanulmányok, témakidolgozások, dolgozatok, esszék, üzleti, szervezési tervek stb. bekérése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3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3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5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7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9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54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74"/>
    <w:rsid w:val="003E2974"/>
    <w:rsid w:val="0057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3A1ADE7-5981-48A6-873D-6CBC087B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4">
    <w:name w:val="heading 4"/>
    <w:basedOn w:val="Norml"/>
    <w:next w:val="Szvegtrzs"/>
    <w:qFormat/>
    <w:pPr>
      <w:keepNext/>
      <w:numPr>
        <w:ilvl w:val="3"/>
        <w:numId w:val="1"/>
      </w:numPr>
      <w:ind w:left="0" w:right="284" w:firstLine="0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footnotereference">
    <w:name w:val="footnote reference"/>
    <w:rPr>
      <w:vertAlign w:val="superscript"/>
    </w:rPr>
  </w:style>
  <w:style w:type="character" w:customStyle="1" w:styleId="LbjegyzetszvegChar">
    <w:name w:val="Lábjegyzetszöveg Char"/>
    <w:basedOn w:val="DefaultParagraphFont"/>
  </w:style>
  <w:style w:type="character" w:customStyle="1" w:styleId="Lbjegyzet-karakterek">
    <w:name w:val="Lábjegyzet-karakterek"/>
  </w:style>
  <w:style w:type="character" w:styleId="Lbjegyzet-hivatkozs">
    <w:name w:val="footnote reference"/>
    <w:rPr>
      <w:vertAlign w:val="superscript"/>
    </w:rPr>
  </w:style>
  <w:style w:type="character" w:styleId="Vgjegyzet-hivatkozs">
    <w:name w:val="endnote reference"/>
    <w:rPr>
      <w:vertAlign w:val="superscript"/>
    </w:rPr>
  </w:style>
  <w:style w:type="character" w:customStyle="1" w:styleId="Vgjegyzet-karakterek">
    <w:name w:val="Végjegyzet-karakterek"/>
  </w:style>
  <w:style w:type="character" w:customStyle="1" w:styleId="WWCharLFO2LVL1">
    <w:name w:val="WW_CharLFO2LVL1"/>
    <w:rPr>
      <w:rFonts w:ascii="OpenSymbol" w:eastAsia="OpenSymbol" w:hAnsi="OpenSymbol" w:cs="OpenSymbol"/>
    </w:rPr>
  </w:style>
  <w:style w:type="character" w:customStyle="1" w:styleId="WWCharLFO2LVL2">
    <w:name w:val="WW_CharLFO2LVL2"/>
    <w:rPr>
      <w:rFonts w:ascii="OpenSymbol" w:eastAsia="OpenSymbol" w:hAnsi="OpenSymbol" w:cs="OpenSymbol"/>
    </w:rPr>
  </w:style>
  <w:style w:type="character" w:customStyle="1" w:styleId="WWCharLFO2LVL3">
    <w:name w:val="WW_CharLFO2LVL3"/>
    <w:rPr>
      <w:rFonts w:ascii="OpenSymbol" w:eastAsia="OpenSymbol" w:hAnsi="OpenSymbol" w:cs="OpenSymbol"/>
    </w:rPr>
  </w:style>
  <w:style w:type="character" w:customStyle="1" w:styleId="WWCharLFO2LVL4">
    <w:name w:val="WW_CharLFO2LVL4"/>
    <w:rPr>
      <w:rFonts w:ascii="OpenSymbol" w:eastAsia="OpenSymbol" w:hAnsi="OpenSymbol" w:cs="OpenSymbol"/>
    </w:rPr>
  </w:style>
  <w:style w:type="character" w:customStyle="1" w:styleId="WWCharLFO2LVL5">
    <w:name w:val="WW_CharLFO2LVL5"/>
    <w:rPr>
      <w:rFonts w:ascii="OpenSymbol" w:eastAsia="OpenSymbol" w:hAnsi="OpenSymbol" w:cs="OpenSymbol"/>
    </w:rPr>
  </w:style>
  <w:style w:type="character" w:customStyle="1" w:styleId="WWCharLFO2LVL6">
    <w:name w:val="WW_CharLFO2LVL6"/>
    <w:rPr>
      <w:rFonts w:ascii="OpenSymbol" w:eastAsia="OpenSymbol" w:hAnsi="OpenSymbol" w:cs="OpenSymbol"/>
    </w:rPr>
  </w:style>
  <w:style w:type="character" w:customStyle="1" w:styleId="WWCharLFO2LVL7">
    <w:name w:val="WW_CharLFO2LVL7"/>
    <w:rPr>
      <w:rFonts w:ascii="OpenSymbol" w:eastAsia="OpenSymbol" w:hAnsi="OpenSymbol" w:cs="OpenSymbol"/>
    </w:rPr>
  </w:style>
  <w:style w:type="character" w:customStyle="1" w:styleId="WWCharLFO2LVL8">
    <w:name w:val="WW_CharLFO2LVL8"/>
    <w:rPr>
      <w:rFonts w:ascii="OpenSymbol" w:eastAsia="OpenSymbol" w:hAnsi="OpenSymbol" w:cs="OpenSymbol"/>
    </w:rPr>
  </w:style>
  <w:style w:type="character" w:customStyle="1" w:styleId="WWCharLFO2LVL9">
    <w:name w:val="WW_CharLFO2LVL9"/>
    <w:rPr>
      <w:rFonts w:ascii="OpenSymbol" w:eastAsia="OpenSymbol" w:hAnsi="OpenSymbol" w:cs="OpenSymbol"/>
    </w:rPr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Ari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Arial"/>
    </w:rPr>
  </w:style>
  <w:style w:type="paragraph" w:customStyle="1" w:styleId="footnotetext">
    <w:name w:val="footnote text"/>
    <w:basedOn w:val="Norml"/>
    <w:rPr>
      <w:sz w:val="20"/>
      <w:szCs w:val="20"/>
    </w:rPr>
  </w:style>
  <w:style w:type="paragraph" w:customStyle="1" w:styleId="Kerettartalom">
    <w:name w:val="Kerettartalom"/>
    <w:basedOn w:val="Szvegtrzs"/>
  </w:style>
  <w:style w:type="paragraph" w:styleId="Lbjegyzetszveg">
    <w:name w:val="footnote text"/>
    <w:basedOn w:val="Norml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 Judit</dc:creator>
  <cp:keywords/>
  <cp:lastModifiedBy>HP</cp:lastModifiedBy>
  <cp:revision>2</cp:revision>
  <cp:lastPrinted>1601-01-01T00:00:00Z</cp:lastPrinted>
  <dcterms:created xsi:type="dcterms:W3CDTF">2023-02-02T10:30:00Z</dcterms:created>
  <dcterms:modified xsi:type="dcterms:W3CDTF">2023-02-02T10:30:00Z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