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96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4529"/>
        <w:gridCol w:w="2338"/>
      </w:tblGrid>
      <w:tr w:rsidR="00BD4204" w:rsidRPr="00201232" w:rsidTr="003B71A3">
        <w:trPr>
          <w:trHeight w:val="317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6F0267">
              <w:rPr>
                <w:b/>
                <w:sz w:val="22"/>
                <w:szCs w:val="22"/>
                <w:shd w:val="clear" w:color="auto" w:fill="FFFFFF" w:themeFill="background1"/>
              </w:rPr>
              <w:t>SMAK106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F0267" w:rsidRPr="003B71A3">
              <w:rPr>
                <w:b/>
                <w:sz w:val="22"/>
                <w:szCs w:val="22"/>
                <w:shd w:val="clear" w:color="auto" w:fill="FFFFFF" w:themeFill="background1"/>
              </w:rPr>
              <w:t>Szociális munka elmélete I.</w:t>
            </w:r>
          </w:p>
        </w:tc>
      </w:tr>
      <w:tr w:rsidR="00BD4204" w:rsidRPr="00201232" w:rsidTr="00350302">
        <w:trPr>
          <w:trHeight w:val="317"/>
        </w:trPr>
        <w:tc>
          <w:tcPr>
            <w:tcW w:w="7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F0267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6F0267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="0035030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F0267">
              <w:rPr>
                <w:b/>
                <w:sz w:val="22"/>
                <w:szCs w:val="22"/>
                <w:shd w:val="clear" w:color="auto" w:fill="FFFFFF" w:themeFill="background1"/>
              </w:rPr>
              <w:t>kredit</w:t>
            </w:r>
          </w:p>
        </w:tc>
      </w:tr>
      <w:tr w:rsidR="00BD4204" w:rsidRPr="00201232" w:rsidTr="003B71A3">
        <w:trPr>
          <w:trHeight w:val="317"/>
        </w:trPr>
        <w:tc>
          <w:tcPr>
            <w:tcW w:w="9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</w:p>
        </w:tc>
      </w:tr>
      <w:tr w:rsidR="00BD4204" w:rsidRPr="00201232" w:rsidTr="003B71A3">
        <w:trPr>
          <w:trHeight w:val="347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F0267" w:rsidRPr="00350302">
              <w:rPr>
                <w:b/>
                <w:sz w:val="22"/>
                <w:szCs w:val="22"/>
                <w:shd w:val="clear" w:color="auto" w:fill="FFFFFF" w:themeFill="background1"/>
              </w:rPr>
              <w:t>előadás-szeminárium</w:t>
            </w:r>
          </w:p>
        </w:tc>
      </w:tr>
      <w:tr w:rsidR="00BD4204" w:rsidRPr="00201232" w:rsidTr="003B71A3">
        <w:trPr>
          <w:trHeight w:val="257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350302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="0035030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350302" w:rsidRPr="00350302">
              <w:rPr>
                <w:b/>
                <w:sz w:val="22"/>
                <w:szCs w:val="22"/>
                <w:shd w:val="clear" w:color="auto" w:fill="FFFFFF" w:themeFill="background1"/>
              </w:rPr>
              <w:t>1. félév</w:t>
            </w:r>
          </w:p>
        </w:tc>
      </w:tr>
      <w:tr w:rsidR="00BD4204" w:rsidRPr="00201232" w:rsidTr="003B71A3">
        <w:trPr>
          <w:trHeight w:val="770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6F0267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D2604B">
              <w:rPr>
                <w:b/>
                <w:sz w:val="22"/>
                <w:szCs w:val="22"/>
                <w:shd w:val="clear" w:color="auto" w:fill="FFFFFF" w:themeFill="background1"/>
              </w:rPr>
              <w:t xml:space="preserve">+14 </w:t>
            </w:r>
            <w:r w:rsidR="00350302">
              <w:rPr>
                <w:b/>
                <w:sz w:val="22"/>
                <w:szCs w:val="22"/>
                <w:shd w:val="clear" w:color="auto" w:fill="FFFFFF" w:themeFill="background1"/>
              </w:rPr>
              <w:t>tanóra/ félév</w:t>
            </w:r>
          </w:p>
          <w:p w:rsidR="00BD4204" w:rsidRPr="00201232" w:rsidRDefault="000924B5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3B71A3">
        <w:trPr>
          <w:trHeight w:val="317"/>
        </w:trPr>
        <w:tc>
          <w:tcPr>
            <w:tcW w:w="96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6F0267" w:rsidRDefault="00BD4204" w:rsidP="006F0267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módja</w:t>
            </w:r>
            <w:r w:rsidR="006F0267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="0035030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6F0267" w:rsidRPr="00903FB7">
              <w:rPr>
                <w:b/>
                <w:sz w:val="22"/>
                <w:szCs w:val="22"/>
                <w:shd w:val="clear" w:color="auto" w:fill="FFFFFF" w:themeFill="background1"/>
              </w:rPr>
              <w:t>szóbeli vizsga</w:t>
            </w:r>
          </w:p>
        </w:tc>
      </w:tr>
      <w:tr w:rsidR="00BD4204" w:rsidRPr="00201232" w:rsidTr="003B71A3">
        <w:trPr>
          <w:trHeight w:val="257"/>
        </w:trPr>
        <w:tc>
          <w:tcPr>
            <w:tcW w:w="9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>Előtanulmányi feltételek</w:t>
            </w:r>
            <w:r w:rsidR="006F0267">
              <w:rPr>
                <w:i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6F0267" w:rsidRPr="00903FB7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nincs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4"/>
      </w:tblGrid>
      <w:tr w:rsidR="00BD4204" w:rsidRPr="00201232" w:rsidTr="00350302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350302">
        <w:trPr>
          <w:trHeight w:val="280"/>
        </w:trPr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8677E6" w:rsidRDefault="008677E6" w:rsidP="008677E6">
            <w:r>
              <w:t xml:space="preserve">A képzés során a </w:t>
            </w:r>
            <w:proofErr w:type="spellStart"/>
            <w:r>
              <w:t>multidiszciplinális</w:t>
            </w:r>
            <w:proofErr w:type="spellEnd"/>
            <w:r>
              <w:t xml:space="preserve"> ismeretek elsajátításával a segítségnyújtásban szükséges társadalom és szociálpolitikai ismeretek birtokában a szociális munkára vonatkozó ismeretek alapjait sajátítsák el. A félév során a hallgatók ismerkedjenek meg a szakma alapvető fogalmi rendszerével.</w:t>
            </w:r>
          </w:p>
          <w:p w:rsidR="008677E6" w:rsidRDefault="008677E6" w:rsidP="008677E6">
            <w:r>
              <w:t xml:space="preserve">Tudják, hogy mire irányul a szociális munka: </w:t>
            </w:r>
          </w:p>
          <w:p w:rsidR="008677E6" w:rsidRDefault="008677E6" w:rsidP="008677E6">
            <w:r>
              <w:t xml:space="preserve">a) mint hivatás </w:t>
            </w:r>
          </w:p>
          <w:p w:rsidR="008677E6" w:rsidRDefault="008677E6" w:rsidP="008677E6">
            <w:pPr>
              <w:tabs>
                <w:tab w:val="left" w:pos="4410"/>
              </w:tabs>
            </w:pPr>
            <w:r>
              <w:t>b) mint segítő tevékenység.</w:t>
            </w:r>
          </w:p>
          <w:p w:rsidR="00221F74" w:rsidRDefault="008677E6" w:rsidP="00221F74">
            <w:r>
              <w:t>Ismerjék meg a szociális gondoskodás fejlődését, a szociális munka nemzetközi és magyarországi történtét.</w:t>
            </w:r>
            <w:r w:rsidR="00D2604B">
              <w:t xml:space="preserve"> </w:t>
            </w:r>
          </w:p>
          <w:p w:rsidR="00221F74" w:rsidRDefault="00221F74" w:rsidP="00221F74">
            <w:r>
              <w:t>Alapfogalmak a szociális munkában: kliens, ellátórendszer felépítése, kliens- rendszer, szocializáció, krízis, krízisintervenció</w:t>
            </w:r>
            <w:proofErr w:type="gramStart"/>
            <w:r>
              <w:t>,stb.</w:t>
            </w:r>
            <w:proofErr w:type="gramEnd"/>
            <w:r>
              <w:t xml:space="preserve"> Szociális munka eszközei: ismeret, készség, érték. Szociális munka feladata, tevékenységei.</w:t>
            </w:r>
          </w:p>
          <w:p w:rsidR="00221F74" w:rsidRDefault="00221F74" w:rsidP="00221F74">
            <w:r>
              <w:t xml:space="preserve">II. A szociális munka megjelenése, főbb állomásai: </w:t>
            </w:r>
          </w:p>
          <w:p w:rsidR="00221F74" w:rsidRDefault="00221F74" w:rsidP="00221F74">
            <w:r>
              <w:t xml:space="preserve">     - A segítés kezdete: az irgalmas szamaritánus.</w:t>
            </w:r>
          </w:p>
          <w:p w:rsidR="00221F74" w:rsidRDefault="00221F74" w:rsidP="00221F74">
            <w:r>
              <w:t xml:space="preserve">     - A </w:t>
            </w:r>
            <w:proofErr w:type="spellStart"/>
            <w:r>
              <w:t>Toynbee</w:t>
            </w:r>
            <w:proofErr w:type="spellEnd"/>
            <w:r>
              <w:t xml:space="preserve"> Hall Samuel </w:t>
            </w:r>
            <w:proofErr w:type="spellStart"/>
            <w:r>
              <w:t>Barnett</w:t>
            </w:r>
            <w:proofErr w:type="spellEnd"/>
          </w:p>
          <w:p w:rsidR="00221F74" w:rsidRDefault="00221F74" w:rsidP="00221F74">
            <w:r>
              <w:t xml:space="preserve">     - Hull House: Közösségi Ház Chicagóban</w:t>
            </w:r>
          </w:p>
          <w:p w:rsidR="00221F74" w:rsidRDefault="00221F74" w:rsidP="00221F74">
            <w:r>
              <w:t xml:space="preserve">      </w:t>
            </w:r>
            <w:proofErr w:type="spellStart"/>
            <w:r>
              <w:t>-Altamont</w:t>
            </w:r>
            <w:proofErr w:type="spellEnd"/>
            <w:r>
              <w:t xml:space="preserve"> Hotel: Az eseti munka Mary Richmond</w:t>
            </w:r>
          </w:p>
          <w:p w:rsidR="00221F74" w:rsidRDefault="00221F74" w:rsidP="00221F74">
            <w:r>
              <w:t xml:space="preserve">      - A berlini nőiskola.</w:t>
            </w:r>
          </w:p>
          <w:p w:rsidR="00221F74" w:rsidRDefault="00221F74" w:rsidP="00221F74">
            <w:r>
              <w:t xml:space="preserve">       - Szociális munka magyarországi</w:t>
            </w:r>
            <w:r w:rsidR="000924B5">
              <w:t xml:space="preserve"> története: a </w:t>
            </w:r>
            <w:proofErr w:type="gramStart"/>
            <w:r w:rsidR="000924B5">
              <w:t xml:space="preserve">kezdetektől  </w:t>
            </w:r>
            <w:r>
              <w:t>napjainkig</w:t>
            </w:r>
            <w:proofErr w:type="gramEnd"/>
            <w:r>
              <w:t>.</w:t>
            </w:r>
          </w:p>
          <w:p w:rsidR="00221F74" w:rsidRDefault="00221F74" w:rsidP="00221F74">
            <w:r>
              <w:t>III. A kliens rendszerének áttekintése:</w:t>
            </w:r>
          </w:p>
          <w:p w:rsidR="00221F74" w:rsidRDefault="00221F74" w:rsidP="00221F74">
            <w:r>
              <w:t xml:space="preserve">    - egyének</w:t>
            </w:r>
          </w:p>
          <w:p w:rsidR="00221F74" w:rsidRDefault="00221F74" w:rsidP="00221F74">
            <w:r>
              <w:t xml:space="preserve">    - családok</w:t>
            </w:r>
          </w:p>
          <w:p w:rsidR="00221F74" w:rsidRDefault="00221F74" w:rsidP="00221F74">
            <w:r>
              <w:t xml:space="preserve">    - csoportok</w:t>
            </w:r>
          </w:p>
          <w:p w:rsidR="00221F74" w:rsidRDefault="00221F74" w:rsidP="00221F74">
            <w:r>
              <w:t xml:space="preserve">    - közösségek.</w:t>
            </w:r>
          </w:p>
          <w:p w:rsidR="00221F74" w:rsidRDefault="00221F74" w:rsidP="00221F74">
            <w:r>
              <w:t xml:space="preserve">    -  A </w:t>
            </w:r>
            <w:proofErr w:type="spellStart"/>
            <w:r>
              <w:t>szoc</w:t>
            </w:r>
            <w:proofErr w:type="spellEnd"/>
            <w:r>
              <w:t xml:space="preserve">. munka ismeretalapja. A humán </w:t>
            </w:r>
            <w:proofErr w:type="spellStart"/>
            <w:r>
              <w:t>ökorendszer</w:t>
            </w:r>
            <w:proofErr w:type="spellEnd"/>
            <w:r>
              <w:t>.</w:t>
            </w:r>
          </w:p>
          <w:p w:rsidR="00BD4204" w:rsidRPr="00201232" w:rsidRDefault="00221F74" w:rsidP="00221F74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>
              <w:t xml:space="preserve">    - A szociális </w:t>
            </w:r>
            <w:proofErr w:type="gramStart"/>
            <w:r>
              <w:t>munka alkalmazási</w:t>
            </w:r>
            <w:proofErr w:type="gramEnd"/>
            <w:r>
              <w:t xml:space="preserve"> területei.</w:t>
            </w:r>
          </w:p>
        </w:tc>
      </w:tr>
      <w:tr w:rsidR="00BD4204" w:rsidRPr="00201232" w:rsidTr="00350302">
        <w:tc>
          <w:tcPr>
            <w:tcW w:w="96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77E6" w:rsidRDefault="006B2881" w:rsidP="000924B5">
            <w:pPr>
              <w:numPr>
                <w:ilvl w:val="0"/>
                <w:numId w:val="2"/>
              </w:num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proofErr w:type="gramStart"/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8677E6">
              <w:rPr>
                <w:sz w:val="22"/>
                <w:szCs w:val="22"/>
                <w:shd w:val="clear" w:color="auto" w:fill="FFFFFF" w:themeFill="background1"/>
              </w:rPr>
              <w:t>:</w:t>
            </w:r>
            <w:proofErr w:type="gramEnd"/>
            <w:r w:rsidR="008677E6">
              <w:t xml:space="preserve"> </w:t>
            </w:r>
            <w:proofErr w:type="spellStart"/>
            <w:r w:rsidR="008677E6">
              <w:t>C.Wolfgang</w:t>
            </w:r>
            <w:proofErr w:type="spellEnd"/>
            <w:r w:rsidR="008677E6">
              <w:t xml:space="preserve"> Müller: Hogyan vált a segítségnyújtás hivatássá?</w:t>
            </w:r>
            <w:r w:rsidR="000924B5">
              <w:t xml:space="preserve"> </w:t>
            </w:r>
            <w:r w:rsidR="008677E6">
              <w:t xml:space="preserve">ELTE </w:t>
            </w:r>
            <w:proofErr w:type="spellStart"/>
            <w:r w:rsidR="008677E6">
              <w:t>Szoc.munka</w:t>
            </w:r>
            <w:proofErr w:type="spellEnd"/>
            <w:r w:rsidR="008677E6">
              <w:t xml:space="preserve"> tanszék és </w:t>
            </w:r>
            <w:proofErr w:type="gramStart"/>
            <w:r w:rsidR="008677E6">
              <w:t xml:space="preserve">a  </w:t>
            </w:r>
            <w:proofErr w:type="spellStart"/>
            <w:r w:rsidR="008677E6">
              <w:t>Hilschler</w:t>
            </w:r>
            <w:proofErr w:type="spellEnd"/>
            <w:proofErr w:type="gramEnd"/>
            <w:r w:rsidR="008677E6">
              <w:t xml:space="preserve"> Rezső Szociálpolitikai Egyesület, 1992</w:t>
            </w:r>
          </w:p>
          <w:p w:rsidR="008677E6" w:rsidRDefault="008677E6" w:rsidP="008677E6">
            <w:pPr>
              <w:numPr>
                <w:ilvl w:val="0"/>
                <w:numId w:val="2"/>
              </w:numPr>
            </w:pPr>
            <w:r>
              <w:t xml:space="preserve">Pick Katalin: a szociális munka Története </w:t>
            </w:r>
            <w:proofErr w:type="gramStart"/>
            <w:r>
              <w:t>Magyarországon(</w:t>
            </w:r>
            <w:proofErr w:type="gramEnd"/>
            <w:r>
              <w:t>1817-1990) ELTE. 2001</w:t>
            </w:r>
          </w:p>
          <w:p w:rsidR="008677E6" w:rsidRDefault="008677E6" w:rsidP="008677E6">
            <w:pPr>
              <w:numPr>
                <w:ilvl w:val="0"/>
                <w:numId w:val="2"/>
              </w:numPr>
            </w:pPr>
            <w:r>
              <w:t xml:space="preserve">A szociális munka elmélete és </w:t>
            </w:r>
            <w:proofErr w:type="spellStart"/>
            <w:r>
              <w:t>gyakorlakötet</w:t>
            </w:r>
            <w:proofErr w:type="spellEnd"/>
            <w:r>
              <w:t>.(</w:t>
            </w:r>
            <w:proofErr w:type="spellStart"/>
            <w:r>
              <w:t>szerk.Hegyesi</w:t>
            </w:r>
            <w:proofErr w:type="spellEnd"/>
            <w:r>
              <w:t xml:space="preserve"> Gábor és </w:t>
            </w:r>
            <w:proofErr w:type="spellStart"/>
            <w:r>
              <w:t>Talyigás</w:t>
            </w:r>
            <w:proofErr w:type="spellEnd"/>
            <w:r>
              <w:t xml:space="preserve"> Katalin</w:t>
            </w:r>
            <w:proofErr w:type="gramStart"/>
            <w:r>
              <w:t xml:space="preserve">)  </w:t>
            </w:r>
            <w:r>
              <w:lastRenderedPageBreak/>
              <w:t>4</w:t>
            </w:r>
            <w:proofErr w:type="gramEnd"/>
            <w:r>
              <w:t xml:space="preserve">. kiadás </w:t>
            </w:r>
            <w:proofErr w:type="spellStart"/>
            <w:r>
              <w:t>Wesley</w:t>
            </w:r>
            <w:proofErr w:type="spellEnd"/>
            <w:r>
              <w:t xml:space="preserve"> János kiadó Bp. 2006.</w:t>
            </w:r>
          </w:p>
          <w:p w:rsidR="008677E6" w:rsidRDefault="008677E6" w:rsidP="00D2604B">
            <w:pPr>
              <w:numPr>
                <w:ilvl w:val="0"/>
                <w:numId w:val="2"/>
              </w:numPr>
            </w:pPr>
            <w:r>
              <w:t xml:space="preserve">Kézikönyv Szociális munkásoknak. 3 </w:t>
            </w:r>
            <w:proofErr w:type="spellStart"/>
            <w:r>
              <w:t>Sz.Szerk</w:t>
            </w:r>
            <w:proofErr w:type="spellEnd"/>
            <w:r>
              <w:t>.</w:t>
            </w:r>
            <w:proofErr w:type="gramStart"/>
            <w:r>
              <w:t>:Kozma</w:t>
            </w:r>
            <w:proofErr w:type="gramEnd"/>
            <w:r>
              <w:t xml:space="preserve"> Judit 1998. 200</w:t>
            </w:r>
          </w:p>
          <w:p w:rsidR="00BD4204" w:rsidRPr="00201232" w:rsidRDefault="00BD4204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350302"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201232" w:rsidTr="00350302"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8677E6">
              <w:rPr>
                <w:sz w:val="22"/>
                <w:szCs w:val="22"/>
                <w:shd w:val="clear" w:color="auto" w:fill="FFFFFF" w:themeFill="background1"/>
              </w:rPr>
              <w:t>:</w:t>
            </w:r>
            <w:proofErr w:type="gramEnd"/>
            <w:r w:rsidR="00D2604B">
              <w:rPr>
                <w:sz w:val="22"/>
                <w:szCs w:val="22"/>
                <w:shd w:val="clear" w:color="auto" w:fill="FFFFFF" w:themeFill="background1"/>
              </w:rPr>
              <w:t xml:space="preserve"> A témához</w:t>
            </w:r>
            <w:r w:rsidR="00350302">
              <w:rPr>
                <w:sz w:val="22"/>
                <w:szCs w:val="22"/>
                <w:shd w:val="clear" w:color="auto" w:fill="FFFFFF" w:themeFill="background1"/>
              </w:rPr>
              <w:t xml:space="preserve"> kapcsolódó, önálló feldolgozású</w:t>
            </w:r>
            <w:r w:rsidR="00D2604B">
              <w:rPr>
                <w:sz w:val="22"/>
                <w:szCs w:val="22"/>
                <w:shd w:val="clear" w:color="auto" w:fill="FFFFFF" w:themeFill="background1"/>
              </w:rPr>
              <w:t xml:space="preserve"> szakanyagok</w:t>
            </w:r>
          </w:p>
        </w:tc>
      </w:tr>
      <w:tr w:rsidR="00FC28B6" w:rsidRPr="00201232" w:rsidTr="00350302">
        <w:tc>
          <w:tcPr>
            <w:tcW w:w="96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350302">
        <w:tc>
          <w:tcPr>
            <w:tcW w:w="96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bookmarkStart w:id="0" w:name="_GoBack"/>
            <w:bookmarkEnd w:id="0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350302">
        <w:trPr>
          <w:trHeight w:val="296"/>
        </w:trPr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221F74" w:rsidRDefault="00BD4204" w:rsidP="009C4D69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i/>
                <w:shd w:val="clear" w:color="auto" w:fill="FFFFFF" w:themeFill="background1"/>
              </w:rPr>
              <w:t xml:space="preserve"> </w:t>
            </w:r>
            <w:r w:rsidR="00555694">
              <w:rPr>
                <w:b/>
                <w:sz w:val="22"/>
                <w:szCs w:val="22"/>
                <w:shd w:val="clear" w:color="auto" w:fill="FFFFFF" w:themeFill="background1"/>
              </w:rPr>
              <w:t>tudás</w:t>
            </w:r>
            <w:r w:rsidR="00221F74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</w:p>
          <w:p w:rsidR="00221F74" w:rsidRPr="00B2721D" w:rsidRDefault="00221F74" w:rsidP="009C4D69">
            <w:pPr>
              <w:jc w:val="both"/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-</w:t>
            </w:r>
            <w:r w:rsidRPr="00B2721D">
              <w:t xml:space="preserve"> Ismeri és értelmezi a kisebbségi és többségi társadalom kapcsolatának dinamikáját és ehhez kapcsolódóan a kisebbségi egyéni és közösségi jogokat.</w:t>
            </w:r>
          </w:p>
          <w:p w:rsidR="00221F74" w:rsidRPr="00B2721D" w:rsidRDefault="00221F74" w:rsidP="009C4D69">
            <w:pPr>
              <w:jc w:val="both"/>
            </w:pPr>
            <w:proofErr w:type="spellStart"/>
            <w:r>
              <w:t>-</w:t>
            </w:r>
            <w:r w:rsidRPr="00B2721D">
              <w:t>Ismeri</w:t>
            </w:r>
            <w:proofErr w:type="spellEnd"/>
            <w:r w:rsidRPr="00B2721D">
              <w:t xml:space="preserve"> és értelmezi az emberi szükségleteket, a társas viselkedés pszichológiai tényezőit, az emberek és a környezetük közötti interakciókat.</w:t>
            </w:r>
          </w:p>
          <w:p w:rsidR="00221F74" w:rsidRPr="00B2721D" w:rsidRDefault="00221F74" w:rsidP="009C4D69">
            <w:pPr>
              <w:jc w:val="both"/>
            </w:pPr>
            <w:proofErr w:type="spellStart"/>
            <w:r>
              <w:t>-</w:t>
            </w:r>
            <w:r w:rsidRPr="00B2721D">
              <w:t>Ismeri</w:t>
            </w:r>
            <w:proofErr w:type="spellEnd"/>
            <w:r w:rsidRPr="00B2721D">
              <w:t xml:space="preserve"> és érti a szociális munka szerepét, lényegét, funkcióit, komplexitását, multi, </w:t>
            </w:r>
            <w:proofErr w:type="spellStart"/>
            <w:r w:rsidRPr="00B2721D">
              <w:t>inter-diszciplináris</w:t>
            </w:r>
            <w:proofErr w:type="spellEnd"/>
            <w:r w:rsidRPr="00B2721D">
              <w:t xml:space="preserve"> jellegét.</w:t>
            </w:r>
          </w:p>
          <w:p w:rsidR="00221F74" w:rsidRDefault="00555694" w:rsidP="009C4D69">
            <w:pPr>
              <w:jc w:val="both"/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képesség</w:t>
            </w:r>
            <w:r w:rsidR="00221F74">
              <w:rPr>
                <w:b/>
                <w:sz w:val="22"/>
                <w:szCs w:val="22"/>
                <w:shd w:val="clear" w:color="auto" w:fill="FFFFFF" w:themeFill="background1"/>
              </w:rPr>
              <w:t>:</w:t>
            </w:r>
            <w:r w:rsidR="00221F74" w:rsidRPr="00B2721D">
              <w:t xml:space="preserve"> Képes áttekinteni a szociális munka szakterületeinek dokumentációit, a kapcsolódó szakmai feladatokat.</w:t>
            </w:r>
          </w:p>
          <w:p w:rsidR="00221F74" w:rsidRDefault="00555694" w:rsidP="009C4D69">
            <w:pPr>
              <w:jc w:val="both"/>
            </w:pPr>
            <w:r>
              <w:rPr>
                <w:b/>
              </w:rPr>
              <w:t>attitűdök</w:t>
            </w:r>
            <w:r w:rsidR="00221F74" w:rsidRPr="00221F74">
              <w:rPr>
                <w:b/>
              </w:rPr>
              <w:t>:</w:t>
            </w:r>
            <w:r w:rsidR="00221F74" w:rsidRPr="00B2721D">
              <w:t xml:space="preserve"> Nyitott mások megismerésére, empátiával viszonyul az emberekhez, családokhoz, csoportokhoz és közösségekhez.</w:t>
            </w:r>
          </w:p>
          <w:p w:rsidR="00221F74" w:rsidRPr="00B2721D" w:rsidRDefault="00555694" w:rsidP="009C4D69">
            <w:pPr>
              <w:jc w:val="both"/>
            </w:pPr>
            <w:proofErr w:type="spellStart"/>
            <w:r>
              <w:rPr>
                <w:b/>
              </w:rPr>
              <w:t>autómia</w:t>
            </w:r>
            <w:proofErr w:type="spellEnd"/>
            <w:r>
              <w:rPr>
                <w:b/>
              </w:rPr>
              <w:t xml:space="preserve"> és felelősség</w:t>
            </w:r>
            <w:r w:rsidR="00221F74">
              <w:rPr>
                <w:b/>
              </w:rPr>
              <w:t>:</w:t>
            </w:r>
            <w:r w:rsidR="00221F74" w:rsidRPr="00B2721D">
              <w:t xml:space="preserve">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  <w:p w:rsidR="00BD4204" w:rsidRPr="00350302" w:rsidRDefault="00CB3FB7" w:rsidP="009C4D69">
            <w:pPr>
              <w:jc w:val="both"/>
            </w:pPr>
            <w:r w:rsidRPr="00B2721D">
              <w:t>Felelősséget vállal a szolgáltatásokat igénybe vevők életébe történő beavatkozásért.</w:t>
            </w:r>
          </w:p>
        </w:tc>
      </w:tr>
      <w:tr w:rsidR="00350302" w:rsidRPr="00201232" w:rsidTr="00350302">
        <w:trPr>
          <w:trHeight w:val="296"/>
        </w:trPr>
        <w:tc>
          <w:tcPr>
            <w:tcW w:w="9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350302" w:rsidRPr="00201232" w:rsidRDefault="00350302" w:rsidP="00350302">
            <w:pPr>
              <w:suppressAutoHyphens/>
              <w:rPr>
                <w:i/>
                <w:shd w:val="clear" w:color="auto" w:fill="FFFFFF" w:themeFill="background1"/>
              </w:rPr>
            </w:pPr>
          </w:p>
        </w:tc>
      </w:tr>
      <w:tr w:rsidR="00350302" w:rsidRPr="00201232" w:rsidTr="00350302">
        <w:trPr>
          <w:trHeight w:val="296"/>
        </w:trPr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margin" w:tblpX="-147" w:tblpY="32"/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68"/>
            </w:tblGrid>
            <w:tr w:rsidR="00350302" w:rsidRPr="00997953" w:rsidTr="00214947">
              <w:trPr>
                <w:trHeight w:val="338"/>
              </w:trPr>
              <w:tc>
                <w:tcPr>
                  <w:tcW w:w="966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50302" w:rsidRPr="00997953" w:rsidRDefault="00350302" w:rsidP="00350302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Tantárgyfelelős</w:t>
                  </w:r>
                  <w:r w:rsidRPr="00997953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: </w:t>
                  </w: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 xml:space="preserve">Udvari </w:t>
                  </w:r>
                  <w:proofErr w:type="spellStart"/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Kerstin</w:t>
                  </w:r>
                  <w:proofErr w:type="spellEnd"/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 xml:space="preserve"> PhD</w:t>
                  </w:r>
                </w:p>
              </w:tc>
            </w:tr>
            <w:tr w:rsidR="00350302" w:rsidRPr="00997953" w:rsidTr="00214947">
              <w:trPr>
                <w:trHeight w:val="337"/>
              </w:trPr>
              <w:tc>
                <w:tcPr>
                  <w:tcW w:w="966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50302" w:rsidRPr="00997953" w:rsidRDefault="00350302" w:rsidP="00350302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Oktató</w:t>
                  </w:r>
                  <w:r w:rsidRPr="00997953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: </w:t>
                  </w:r>
                  <w:r w:rsidRPr="00403678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Molnár E</w:t>
                  </w: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ndre Kálmánné PhD</w:t>
                  </w:r>
                </w:p>
              </w:tc>
            </w:tr>
            <w:tr w:rsidR="00350302" w:rsidRPr="00997953" w:rsidTr="00214947">
              <w:trPr>
                <w:trHeight w:val="438"/>
              </w:trPr>
              <w:tc>
                <w:tcPr>
                  <w:tcW w:w="9668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:rsidR="00350302" w:rsidRPr="00997953" w:rsidRDefault="00350302" w:rsidP="00350302">
                  <w:pPr>
                    <w:suppressAutoHyphens/>
                    <w:spacing w:before="60"/>
                    <w:jc w:val="both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 xml:space="preserve">A tantárgyi adatlapot jóváhagyta: Udvari </w:t>
                  </w:r>
                  <w:proofErr w:type="spellStart"/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>Kerstin</w:t>
                  </w:r>
                  <w:proofErr w:type="spellEnd"/>
                  <w:r w:rsidRPr="00997953"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  <w:t xml:space="preserve"> PhD tanszékvezető</w:t>
                  </w:r>
                </w:p>
              </w:tc>
            </w:tr>
          </w:tbl>
          <w:p w:rsidR="00350302" w:rsidRDefault="00350302" w:rsidP="00350302"/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02" w:rsidRDefault="00561302" w:rsidP="00BD4204">
      <w:r>
        <w:separator/>
      </w:r>
    </w:p>
  </w:endnote>
  <w:endnote w:type="continuationSeparator" w:id="0">
    <w:p w:rsidR="00561302" w:rsidRDefault="00561302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02" w:rsidRDefault="00561302" w:rsidP="00BD4204">
      <w:r>
        <w:separator/>
      </w:r>
    </w:p>
  </w:footnote>
  <w:footnote w:type="continuationSeparator" w:id="0">
    <w:p w:rsidR="00561302" w:rsidRDefault="00561302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292"/>
    <w:multiLevelType w:val="hybridMultilevel"/>
    <w:tmpl w:val="71E00E0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13239"/>
    <w:multiLevelType w:val="hybridMultilevel"/>
    <w:tmpl w:val="BDDE8FA2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C5C32F6"/>
    <w:multiLevelType w:val="hybridMultilevel"/>
    <w:tmpl w:val="1E980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924B5"/>
    <w:rsid w:val="00155773"/>
    <w:rsid w:val="001F6121"/>
    <w:rsid w:val="00201232"/>
    <w:rsid w:val="00221F74"/>
    <w:rsid w:val="0023080D"/>
    <w:rsid w:val="00231E04"/>
    <w:rsid w:val="002B2599"/>
    <w:rsid w:val="003367E5"/>
    <w:rsid w:val="00350302"/>
    <w:rsid w:val="003B6373"/>
    <w:rsid w:val="003B71A3"/>
    <w:rsid w:val="00403678"/>
    <w:rsid w:val="00436CB3"/>
    <w:rsid w:val="0044503E"/>
    <w:rsid w:val="004A0081"/>
    <w:rsid w:val="004C37D9"/>
    <w:rsid w:val="004C3A8B"/>
    <w:rsid w:val="005333FE"/>
    <w:rsid w:val="00552C1D"/>
    <w:rsid w:val="00555694"/>
    <w:rsid w:val="00561302"/>
    <w:rsid w:val="005A3599"/>
    <w:rsid w:val="005B518C"/>
    <w:rsid w:val="006253C1"/>
    <w:rsid w:val="006B2881"/>
    <w:rsid w:val="006F0267"/>
    <w:rsid w:val="00720CB8"/>
    <w:rsid w:val="00740850"/>
    <w:rsid w:val="0078754F"/>
    <w:rsid w:val="007926B6"/>
    <w:rsid w:val="00792C50"/>
    <w:rsid w:val="00840562"/>
    <w:rsid w:val="008677E6"/>
    <w:rsid w:val="008C647F"/>
    <w:rsid w:val="00903FB7"/>
    <w:rsid w:val="009076EA"/>
    <w:rsid w:val="009345C0"/>
    <w:rsid w:val="00953F54"/>
    <w:rsid w:val="009A72A9"/>
    <w:rsid w:val="009C4D69"/>
    <w:rsid w:val="00A26CFD"/>
    <w:rsid w:val="00A63E86"/>
    <w:rsid w:val="00A64EC9"/>
    <w:rsid w:val="00A6705B"/>
    <w:rsid w:val="00A71C0D"/>
    <w:rsid w:val="00AF3205"/>
    <w:rsid w:val="00BD4204"/>
    <w:rsid w:val="00C65FF3"/>
    <w:rsid w:val="00CB3FB7"/>
    <w:rsid w:val="00D23A7D"/>
    <w:rsid w:val="00D2604B"/>
    <w:rsid w:val="00E13892"/>
    <w:rsid w:val="00E36CB8"/>
    <w:rsid w:val="00E57170"/>
    <w:rsid w:val="00E66FE3"/>
    <w:rsid w:val="00E865C3"/>
    <w:rsid w:val="00F02F49"/>
    <w:rsid w:val="00F15B0E"/>
    <w:rsid w:val="00F53749"/>
    <w:rsid w:val="00F64798"/>
    <w:rsid w:val="00FC28B6"/>
    <w:rsid w:val="00F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EE630-D664-4276-97AA-06947EB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Judit</dc:creator>
  <cp:lastModifiedBy>HP</cp:lastModifiedBy>
  <cp:revision>17</cp:revision>
  <dcterms:created xsi:type="dcterms:W3CDTF">2023-02-13T16:00:00Z</dcterms:created>
  <dcterms:modified xsi:type="dcterms:W3CDTF">2023-02-14T07:32:00Z</dcterms:modified>
</cp:coreProperties>
</file>