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DE32FE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CC6BED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>
      <w:bookmarkStart w:id="0" w:name="_GoBack"/>
      <w:bookmarkEnd w:id="0"/>
    </w:p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49"/>
        <w:gridCol w:w="2579"/>
        <w:gridCol w:w="2627"/>
        <w:gridCol w:w="2816"/>
      </w:tblGrid>
      <w:tr w:rsidR="00EE10B8" w:rsidTr="00EE10B8">
        <w:trPr>
          <w:jc w:val="center"/>
        </w:trPr>
        <w:tc>
          <w:tcPr>
            <w:tcW w:w="2210" w:type="dxa"/>
            <w:vAlign w:val="center"/>
          </w:tcPr>
          <w:p w:rsidR="00EE10B8" w:rsidRPr="001F6121" w:rsidRDefault="00EE10B8" w:rsidP="001F6121">
            <w:r w:rsidRPr="001F6121">
              <w:t>Tantárgy kódja</w:t>
            </w:r>
          </w:p>
        </w:tc>
        <w:tc>
          <w:tcPr>
            <w:tcW w:w="8161" w:type="dxa"/>
            <w:gridSpan w:val="3"/>
          </w:tcPr>
          <w:p w:rsidR="00EE10B8" w:rsidRPr="00974565" w:rsidRDefault="00EE10B8" w:rsidP="00C977C5">
            <w:pPr>
              <w:rPr>
                <w:b/>
              </w:rPr>
            </w:pPr>
            <w:r w:rsidRPr="00974565">
              <w:rPr>
                <w:b/>
              </w:rPr>
              <w:t>SMAK408</w:t>
            </w:r>
          </w:p>
        </w:tc>
      </w:tr>
      <w:tr w:rsidR="00EE10B8" w:rsidTr="00EE10B8">
        <w:trPr>
          <w:jc w:val="center"/>
        </w:trPr>
        <w:tc>
          <w:tcPr>
            <w:tcW w:w="2210" w:type="dxa"/>
            <w:vAlign w:val="center"/>
          </w:tcPr>
          <w:p w:rsidR="00EE10B8" w:rsidRPr="001F6121" w:rsidRDefault="00EE10B8" w:rsidP="001F6121">
            <w:r w:rsidRPr="001F6121">
              <w:t>Tantárgy elnevezése</w:t>
            </w:r>
          </w:p>
        </w:tc>
        <w:tc>
          <w:tcPr>
            <w:tcW w:w="8161" w:type="dxa"/>
            <w:gridSpan w:val="3"/>
          </w:tcPr>
          <w:p w:rsidR="00EE10B8" w:rsidRPr="00974565" w:rsidRDefault="00EE10B8" w:rsidP="00C977C5">
            <w:pPr>
              <w:rPr>
                <w:b/>
              </w:rPr>
            </w:pPr>
            <w:r w:rsidRPr="00974565">
              <w:rPr>
                <w:b/>
              </w:rPr>
              <w:t>Szociális igazgatási gyakorlat-feldolgozó szeminárium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Tantárgy oktatójának neve</w:t>
            </w:r>
          </w:p>
        </w:tc>
        <w:tc>
          <w:tcPr>
            <w:tcW w:w="2579" w:type="dxa"/>
            <w:vAlign w:val="center"/>
          </w:tcPr>
          <w:p w:rsidR="00AB0E41" w:rsidRPr="00231E04" w:rsidRDefault="00EE10B8" w:rsidP="00B50811">
            <w:pPr>
              <w:rPr>
                <w:b/>
              </w:rPr>
            </w:pPr>
            <w:r>
              <w:rPr>
                <w:b/>
              </w:rPr>
              <w:t>Dósa Piroska</w:t>
            </w:r>
          </w:p>
        </w:tc>
        <w:tc>
          <w:tcPr>
            <w:tcW w:w="2627" w:type="dxa"/>
            <w:vAlign w:val="center"/>
          </w:tcPr>
          <w:p w:rsidR="00AB0E41" w:rsidRPr="001F6121" w:rsidRDefault="00AB0E41" w:rsidP="00B50811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955" w:type="dxa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óraadó oktató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Tantárgy óraszáma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 w:rsidRPr="00231E04">
              <w:rPr>
                <w:b/>
              </w:rPr>
              <w:t xml:space="preserve">nappali tagozaton </w:t>
            </w:r>
            <w:r>
              <w:rPr>
                <w:b/>
              </w:rPr>
              <w:t>2</w:t>
            </w:r>
            <w:r w:rsidRPr="00231E04">
              <w:rPr>
                <w:b/>
              </w:rPr>
              <w:t xml:space="preserve"> tanóra/ hét</w:t>
            </w:r>
          </w:p>
          <w:p w:rsidR="00AB0E41" w:rsidRPr="00231E04" w:rsidRDefault="00AB0E41" w:rsidP="00ED129E">
            <w:pPr>
              <w:rPr>
                <w:b/>
              </w:rPr>
            </w:pPr>
            <w:r>
              <w:rPr>
                <w:b/>
              </w:rPr>
              <w:t xml:space="preserve">levelező tagozaton </w:t>
            </w:r>
            <w:r w:rsidR="00ED129E">
              <w:rPr>
                <w:b/>
              </w:rPr>
              <w:t xml:space="preserve">16 </w:t>
            </w:r>
            <w:r w:rsidRPr="00231E04">
              <w:rPr>
                <w:b/>
              </w:rPr>
              <w:t>tanóra/félév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Tanóra típusa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231E04" w:rsidRDefault="00EE10B8" w:rsidP="00B50811">
            <w:r>
              <w:rPr>
                <w:b/>
              </w:rPr>
              <w:t>szeminárium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Meghirdetési időszak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231E04" w:rsidRDefault="00AB0E41" w:rsidP="00B50811">
            <w:pPr>
              <w:rPr>
                <w:b/>
              </w:rPr>
            </w:pPr>
            <w:r>
              <w:rPr>
                <w:b/>
              </w:rPr>
              <w:t>tavaszi félév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Kreditszám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231E04" w:rsidRDefault="00EE10B8" w:rsidP="00B50811">
            <w:r>
              <w:rPr>
                <w:b/>
              </w:rPr>
              <w:t>1</w:t>
            </w:r>
            <w:r w:rsidR="00AB0E41" w:rsidRPr="00231E04">
              <w:rPr>
                <w:b/>
              </w:rPr>
              <w:t xml:space="preserve"> </w:t>
            </w:r>
            <w:r w:rsidR="00AB0E41">
              <w:rPr>
                <w:b/>
              </w:rPr>
              <w:t>kredit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A tantárgy oktatásának célja</w:t>
            </w:r>
          </w:p>
        </w:tc>
        <w:tc>
          <w:tcPr>
            <w:tcW w:w="8161" w:type="dxa"/>
            <w:gridSpan w:val="3"/>
            <w:vAlign w:val="center"/>
          </w:tcPr>
          <w:p w:rsidR="00ED129E" w:rsidRPr="0098223D" w:rsidRDefault="00EE10B8" w:rsidP="00EE10B8">
            <w:pPr>
              <w:jc w:val="both"/>
            </w:pPr>
            <w:r w:rsidRPr="0098223D">
              <w:t xml:space="preserve">Szociális igazgatás valamely területének megismerése során szerzett tapasztalatok megbeszélése. Szociális jog tantárgy gyakorlatban történő alkalmazásához „képessé” tenni a hallgatókat, esetek bemutatása segítségével.   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EE10B8">
              <w:rPr>
                <w:sz w:val="22"/>
              </w:rPr>
              <w:t>Szükséges előtanulmányok, feltételezett tudásanyag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EE10B8" w:rsidRDefault="00EE10B8" w:rsidP="00EE10B8">
            <w:r w:rsidRPr="00EE10B8">
              <w:t>Szociális jog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Fejlesztendő kompetenciaterületek:</w:t>
            </w:r>
          </w:p>
        </w:tc>
        <w:tc>
          <w:tcPr>
            <w:tcW w:w="8161" w:type="dxa"/>
            <w:gridSpan w:val="3"/>
            <w:vAlign w:val="center"/>
          </w:tcPr>
          <w:p w:rsidR="00EE10B8" w:rsidRPr="00EE10B8" w:rsidRDefault="00EE10B8" w:rsidP="00EE10B8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EE10B8">
              <w:rPr>
                <w:b/>
              </w:rPr>
              <w:t>tudás</w:t>
            </w:r>
          </w:p>
          <w:p w:rsidR="00EE10B8" w:rsidRPr="00EE10B8" w:rsidRDefault="00EE10B8" w:rsidP="00EE10B8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EE10B8">
              <w:t>Ismeri és értelmezi a szociális munkához kapcsolódó jogi területek szabályozását, különös tekintettel az emberi és gyermeki jogokra, a szociális és gyermekvédelmi jogi szabályozásra.</w:t>
            </w:r>
          </w:p>
          <w:p w:rsidR="00EE10B8" w:rsidRPr="00EE10B8" w:rsidRDefault="00EE10B8" w:rsidP="00EE10B8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EE10B8">
              <w:tab/>
              <w:t>(jogi ismeretek)</w:t>
            </w:r>
          </w:p>
          <w:p w:rsidR="00EE10B8" w:rsidRPr="00EE10B8" w:rsidRDefault="00EE10B8" w:rsidP="00EE10B8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EE10B8">
              <w:t>Ismeri a szociális szolgáltatási rendszert, a közszféra, valamint a magánszféra - ezen belül civil-, egyházi, piaci szféra - rendszereit, átlátja a szociális szervezetek működését és abban a szociális szakemberek szerepeinek, tevékenységének formáit.</w:t>
            </w:r>
            <w:r w:rsidRPr="00EE10B8">
              <w:tab/>
              <w:t>(intézményrendszerre vonatkozó ismeretek)</w:t>
            </w:r>
          </w:p>
          <w:p w:rsidR="00EE10B8" w:rsidRPr="00EE10B8" w:rsidRDefault="00EE10B8" w:rsidP="00EE10B8">
            <w:pPr>
              <w:tabs>
                <w:tab w:val="left" w:pos="317"/>
              </w:tabs>
              <w:suppressAutoHyphens/>
              <w:ind w:left="176"/>
              <w:jc w:val="both"/>
            </w:pPr>
            <w:r w:rsidRPr="00EE10B8">
              <w:t>Ismeri más segítő szakmák kompetenciaköreit, felkészült a gyakorlat során felmerülő problémák szakmai illetékességének felismerésére, és más szakmák szakembereivel való szakszerű együttműködésre. (</w:t>
            </w:r>
            <w:proofErr w:type="spellStart"/>
            <w:r w:rsidRPr="00EE10B8">
              <w:t>inter-</w:t>
            </w:r>
            <w:proofErr w:type="spellEnd"/>
            <w:r w:rsidRPr="00EE10B8">
              <w:t xml:space="preserve">, </w:t>
            </w:r>
            <w:proofErr w:type="spellStart"/>
            <w:r w:rsidRPr="00EE10B8">
              <w:t>multiproffesziónalitás</w:t>
            </w:r>
            <w:proofErr w:type="spellEnd"/>
            <w:r w:rsidRPr="00EE10B8">
              <w:t>)</w:t>
            </w:r>
          </w:p>
          <w:p w:rsidR="00EE10B8" w:rsidRPr="00EE10B8" w:rsidRDefault="00EE10B8" w:rsidP="00EE10B8">
            <w:pPr>
              <w:numPr>
                <w:ilvl w:val="0"/>
                <w:numId w:val="17"/>
              </w:numPr>
              <w:tabs>
                <w:tab w:val="left" w:pos="317"/>
              </w:tabs>
              <w:suppressAutoHyphens/>
              <w:ind w:left="176" w:hanging="142"/>
              <w:rPr>
                <w:b/>
              </w:rPr>
            </w:pPr>
            <w:r w:rsidRPr="00EE10B8">
              <w:rPr>
                <w:b/>
              </w:rPr>
              <w:t>képességei</w:t>
            </w:r>
          </w:p>
          <w:p w:rsidR="00EE10B8" w:rsidRPr="00EE10B8" w:rsidRDefault="00EE10B8" w:rsidP="00EE10B8">
            <w:pPr>
              <w:suppressAutoHyphens/>
              <w:ind w:left="176"/>
              <w:jc w:val="both"/>
              <w:rPr>
                <w:b/>
              </w:rPr>
            </w:pPr>
            <w:r w:rsidRPr="00EE10B8">
              <w:t>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  <w:r w:rsidRPr="00EE10B8">
              <w:tab/>
            </w:r>
            <w:r w:rsidRPr="00EE10B8">
              <w:rPr>
                <w:b/>
              </w:rPr>
              <w:t>(kezdeményező készség)</w:t>
            </w:r>
          </w:p>
          <w:p w:rsidR="00EE10B8" w:rsidRPr="00EE10B8" w:rsidRDefault="00EE10B8" w:rsidP="00EE10B8">
            <w:pPr>
              <w:suppressAutoHyphens/>
              <w:ind w:left="176"/>
              <w:jc w:val="both"/>
            </w:pPr>
            <w:r w:rsidRPr="00EE10B8">
              <w:t>összefüggések megértése</w:t>
            </w:r>
          </w:p>
          <w:p w:rsidR="00EE10B8" w:rsidRPr="00EE10B8" w:rsidRDefault="00EE10B8" w:rsidP="00EE10B8">
            <w:pPr>
              <w:suppressAutoHyphens/>
              <w:ind w:left="176"/>
              <w:jc w:val="both"/>
            </w:pPr>
            <w:r w:rsidRPr="00EE10B8">
              <w:t>Képes kritikus szemlélettel és reflektív módon megfogalmazni a társadalmi és szociális problémákat, a veszélyeztető tényezőket és a problémakezelés folyamatát.</w:t>
            </w:r>
            <w:r w:rsidRPr="00EE10B8">
              <w:tab/>
              <w:t>kritikus gondolkodás</w:t>
            </w:r>
          </w:p>
          <w:p w:rsidR="00EE10B8" w:rsidRPr="00EE10B8" w:rsidRDefault="00EE10B8" w:rsidP="00EE10B8">
            <w:pPr>
              <w:suppressAutoHyphens/>
              <w:ind w:left="176"/>
              <w:jc w:val="both"/>
            </w:pPr>
            <w:r w:rsidRPr="00EE10B8">
              <w:t>reflexió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folyamatok átlátása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 xml:space="preserve">Képes megkülönböztetni a vélekedéseket, </w:t>
            </w:r>
            <w:proofErr w:type="spellStart"/>
            <w:r w:rsidRPr="00EE10B8">
              <w:t>sztereotipiákat</w:t>
            </w:r>
            <w:proofErr w:type="spellEnd"/>
            <w:r w:rsidRPr="00EE10B8">
              <w:t>, előítéleteket a bizonyítékokkal alátámasztott társadalmi tényektől, leírásoktól, elemzésektől.</w:t>
            </w:r>
            <w:r w:rsidRPr="00EE10B8">
              <w:tab/>
            </w:r>
            <w:r w:rsidRPr="00EE10B8">
              <w:rPr>
                <w:b/>
              </w:rPr>
              <w:t>kritikus gondolkodás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Képes a bizalomépítésre, a nyílt, hiteles, hatékony kommunikációra.</w:t>
            </w:r>
            <w:r w:rsidRPr="00EE10B8">
              <w:tab/>
            </w:r>
            <w:r w:rsidRPr="00EE10B8">
              <w:rPr>
                <w:b/>
              </w:rPr>
              <w:t>kommunikáció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Képes szükségletfelmérésre, az egyén és környezete közötti folyamatoknak, kölcsönhatásoknak, problémáknak holisztikus elemzésére.</w:t>
            </w:r>
            <w:r w:rsidRPr="00EE10B8">
              <w:tab/>
              <w:t>elemző-tervező készség (</w:t>
            </w:r>
            <w:r w:rsidRPr="00EE10B8">
              <w:rPr>
                <w:b/>
              </w:rPr>
              <w:t>holisztikus)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 xml:space="preserve">Felismeri a szolgáltatásokat igénybe vevők autonómiáját tiszteletben tartó </w:t>
            </w:r>
            <w:r w:rsidRPr="00EE10B8">
              <w:lastRenderedPageBreak/>
              <w:t>proaktív szemléletű, életminőséget szolgáló, javító, konstruktív problémakezelés, valamint a források és a kockázatok elemzésének szükségességét.</w:t>
            </w:r>
            <w:r w:rsidRPr="00EE10B8">
              <w:tab/>
            </w:r>
            <w:r w:rsidRPr="00EE10B8">
              <w:rPr>
                <w:b/>
              </w:rPr>
              <w:t>elemző készség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kezdeményező készség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Felkészült a szakmai csapatmunkára, a partneri együttműködésekre az érintettekkel, szakmai szervezetekkel, a társszakmák és a közigazgatás szakembereivel, önkéntesekkel.</w:t>
            </w:r>
            <w:r w:rsidRPr="00EE10B8">
              <w:tab/>
            </w:r>
            <w:r w:rsidRPr="00EE10B8">
              <w:rPr>
                <w:b/>
              </w:rPr>
              <w:t>team munka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együttműködési képesség</w:t>
            </w:r>
          </w:p>
          <w:p w:rsidR="00EE10B8" w:rsidRPr="00EE10B8" w:rsidRDefault="00EE10B8" w:rsidP="00EE10B8">
            <w:pPr>
              <w:suppressAutoHyphens/>
              <w:ind w:left="176"/>
            </w:pPr>
            <w:r w:rsidRPr="00EE10B8">
              <w:t>Képes áttekinteni a szociális munka szakterületeinek dokumentációit, a kapcsolódó szakmai feladatokat.</w:t>
            </w:r>
            <w:r w:rsidRPr="00EE10B8">
              <w:tab/>
              <w:t>összefüggések átlátása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szakmai dokumentáció</w:t>
            </w:r>
          </w:p>
          <w:p w:rsidR="00EE10B8" w:rsidRPr="00EE10B8" w:rsidRDefault="00EE10B8" w:rsidP="00EE10B8">
            <w:pPr>
              <w:suppressAutoHyphens/>
              <w:ind w:left="176"/>
            </w:pPr>
            <w:r w:rsidRPr="00EE10B8">
              <w:rPr>
                <w:b/>
              </w:rPr>
              <w:t>attitűd</w:t>
            </w:r>
            <w:r w:rsidRPr="00EE10B8">
              <w:tab/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Érzékeny és nyitott a társadalmi és szociális problémákra, elkötelezett és felelősséget vállal a szakma értékei és a társadalmi szolidaritás ügye mellett.</w:t>
            </w:r>
            <w:r w:rsidRPr="00EE10B8">
              <w:tab/>
            </w:r>
            <w:r w:rsidRPr="00EE10B8">
              <w:rPr>
                <w:b/>
              </w:rPr>
              <w:t>felelősségvállalás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értékek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nyitottság</w:t>
            </w:r>
          </w:p>
          <w:p w:rsidR="00EE10B8" w:rsidRPr="00EE10B8" w:rsidRDefault="00EE10B8" w:rsidP="00EE10B8">
            <w:pPr>
              <w:suppressAutoHyphens/>
              <w:ind w:left="176"/>
            </w:pPr>
            <w:r w:rsidRPr="00EE10B8">
              <w:t>Elkötelezett a társadalmi egyenlőség, a demokratikus értékek, a jogállamiság és az európai értékközösség mellett.</w:t>
            </w:r>
            <w:r w:rsidRPr="00EE10B8">
              <w:tab/>
            </w:r>
            <w:r w:rsidRPr="00EE10B8">
              <w:rPr>
                <w:b/>
              </w:rPr>
              <w:t>értékek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Elkötelezett a szakmai etikai alapelvek gyakorlati alkalmazására, valamint a jogi és etikai keretek közötti felelős cselekvésre.</w:t>
            </w:r>
            <w:r w:rsidRPr="00EE10B8">
              <w:tab/>
            </w:r>
            <w:r w:rsidRPr="00EE10B8">
              <w:rPr>
                <w:b/>
              </w:rPr>
              <w:t>felelősségvállalás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értékek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etikusság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Nyitott mások megismerésére, empátiával viszonyul az emberekhez, családokhoz, csoportokhoz és közösségekhez.</w:t>
            </w:r>
            <w:r w:rsidRPr="00EE10B8">
              <w:tab/>
            </w:r>
            <w:r w:rsidRPr="00EE10B8">
              <w:rPr>
                <w:b/>
              </w:rPr>
              <w:t>nyitottság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empátia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Nyitott az új módszerekre, eljárásokra, szakmai eredményekre és innovációkra; elkötelezett a korszerű szociális munka tudományos és gyakorlati eredményeinek megismerésére és alkalmazására.</w:t>
            </w:r>
            <w:r w:rsidRPr="00EE10B8">
              <w:tab/>
            </w:r>
            <w:r w:rsidRPr="00EE10B8">
              <w:rPr>
                <w:b/>
              </w:rPr>
              <w:t>nyitottság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Munkáját minden körülmények között felelősen, a szociális munka értékeit és alapelveit, a szakmai etikai kódex iránymutatásait figyelembe véve, elméleti és gyakorlati megalapozottsággal végzi és képviseli.</w:t>
            </w:r>
            <w:r w:rsidRPr="00EE10B8">
              <w:tab/>
            </w:r>
            <w:r w:rsidRPr="00EE10B8">
              <w:rPr>
                <w:b/>
              </w:rPr>
              <w:t>felelősségvállalás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értékek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etikusság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Felelősséget vállal a rábízott információkért, valamint a dokumentációban rögzített adatokért, titoktartási kötelezettségét megtartja.</w:t>
            </w:r>
            <w:r w:rsidRPr="00EE10B8">
              <w:tab/>
            </w:r>
            <w:r w:rsidRPr="00EE10B8">
              <w:rPr>
                <w:b/>
              </w:rPr>
              <w:t>adatvédelem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rPr>
                <w:b/>
              </w:rPr>
              <w:t>titoktartás</w:t>
            </w:r>
          </w:p>
          <w:p w:rsidR="00EE10B8" w:rsidRPr="00EE10B8" w:rsidRDefault="00EE10B8" w:rsidP="00EE10B8">
            <w:pPr>
              <w:suppressAutoHyphens/>
              <w:ind w:left="176"/>
              <w:rPr>
                <w:b/>
              </w:rPr>
            </w:pPr>
            <w:r w:rsidRPr="00EE10B8">
              <w:t>Autonóm módon képes felismerni szerepét és helyét a szociális munka közvetlen gyakorlatában, a különböző szinteken megvalósuló csapatmunkában. Kommunikációjáért hatáskörén belül mindenkor felelősséget vállal.</w:t>
            </w:r>
            <w:r w:rsidRPr="00EE10B8">
              <w:tab/>
            </w:r>
            <w:r w:rsidRPr="00EE10B8">
              <w:rPr>
                <w:b/>
              </w:rPr>
              <w:t>kommunikáció</w:t>
            </w:r>
          </w:p>
          <w:p w:rsidR="00AB0E41" w:rsidRPr="00EE10B8" w:rsidRDefault="00EE10B8" w:rsidP="00EE10B8">
            <w:pPr>
              <w:tabs>
                <w:tab w:val="left" w:pos="317"/>
              </w:tabs>
              <w:suppressAutoHyphens/>
            </w:pPr>
            <w:r w:rsidRPr="00EE10B8">
              <w:rPr>
                <w:b/>
              </w:rPr>
              <w:t>team képesség (csapatmunka)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lastRenderedPageBreak/>
              <w:t>Tantárgyi leírás (tematikával együtt)</w:t>
            </w:r>
          </w:p>
        </w:tc>
        <w:tc>
          <w:tcPr>
            <w:tcW w:w="8161" w:type="dxa"/>
            <w:gridSpan w:val="3"/>
            <w:vAlign w:val="center"/>
          </w:tcPr>
          <w:p w:rsidR="00EE10B8" w:rsidRPr="00EE10B8" w:rsidRDefault="00EE10B8" w:rsidP="00EE10B8">
            <w:pPr>
              <w:suppressAutoHyphens/>
              <w:ind w:left="34"/>
              <w:jc w:val="both"/>
            </w:pPr>
            <w:r w:rsidRPr="00EE10B8">
              <w:t xml:space="preserve">A tantárgy szociális jog elméleti tudásanyagára épül. A hallgatók kötelező gyakorlatukat szociális igazgatás területén töltik. Az itt szerzett pozitív és negatív tapasztalataikat beszéljük meg.  Különbségek bemutatása a szociális munkás és hatósági ügyintéző feladata között, erről elmondja véleményét, ő hogyan járt volna el. Az elméleti tudásra építve szituációs gyakorlatok révén mélyítjük el a szociális jog során tanultakat (a kliens problémájának felismerése, megoldásban való segítség, annak lehetőségei). Fővárosi Kormányhivatal Szociális és Gyámhivatalához benyújtott „érdekes” fellebbezések bemutatása. Egy ügymenet kezdettől a befejezésig történő bemutatása.     </w:t>
            </w:r>
          </w:p>
          <w:p w:rsidR="00EE10B8" w:rsidRPr="00EE10B8" w:rsidRDefault="00EE10B8" w:rsidP="00EE10B8">
            <w:pPr>
              <w:suppressAutoHyphens/>
              <w:ind w:left="34"/>
              <w:jc w:val="both"/>
            </w:pPr>
            <w:r w:rsidRPr="00EE10B8">
              <w:t>Előzetes anyagok megküldése</w:t>
            </w:r>
            <w:r w:rsidRPr="00EE10B8">
              <w:tab/>
              <w:t xml:space="preserve">szociális védelem rendszere, esetfeldolgozáshoz esetek </w:t>
            </w:r>
          </w:p>
          <w:p w:rsidR="00AB0E41" w:rsidRPr="00EE10B8" w:rsidRDefault="00EE10B8" w:rsidP="00EE10B8">
            <w:pPr>
              <w:jc w:val="both"/>
            </w:pPr>
            <w:r w:rsidRPr="00EE10B8">
              <w:t>3.-4</w:t>
            </w:r>
            <w:r>
              <w:t xml:space="preserve">. </w:t>
            </w:r>
            <w:r w:rsidRPr="00EE10B8">
              <w:t xml:space="preserve">nap: Összegzés: két eset végig vitele az eddig tanultak alapján- gyakorlat </w:t>
            </w:r>
            <w:r w:rsidRPr="00EE10B8">
              <w:lastRenderedPageBreak/>
              <w:t xml:space="preserve">zárása, megbeszélése, összegzése  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lastRenderedPageBreak/>
              <w:t>Kötelező és ajánlott irodalom</w:t>
            </w:r>
          </w:p>
        </w:tc>
        <w:tc>
          <w:tcPr>
            <w:tcW w:w="8161" w:type="dxa"/>
            <w:gridSpan w:val="3"/>
            <w:vAlign w:val="center"/>
          </w:tcPr>
          <w:p w:rsidR="00EE10B8" w:rsidRPr="00EE10B8" w:rsidRDefault="00EE10B8" w:rsidP="00EE10B8">
            <w:pPr>
              <w:suppressAutoHyphens/>
              <w:ind w:left="34"/>
            </w:pPr>
            <w:r w:rsidRPr="00EE10B8">
              <w:t>1993.évi III. törvény a szociális igazgatásról</w:t>
            </w:r>
          </w:p>
          <w:p w:rsidR="00EE10B8" w:rsidRPr="00EE10B8" w:rsidRDefault="00EE10B8" w:rsidP="00EE10B8">
            <w:pPr>
              <w:suppressAutoHyphens/>
              <w:ind w:left="34"/>
            </w:pPr>
            <w:r w:rsidRPr="00EE10B8">
              <w:t xml:space="preserve">1997.évi XXXI. törvény a gyermekvédelmi és gyámügyi igazgatásról </w:t>
            </w:r>
          </w:p>
          <w:p w:rsidR="00EE10B8" w:rsidRPr="00EE10B8" w:rsidRDefault="00EE10B8" w:rsidP="00EE10B8">
            <w:pPr>
              <w:suppressAutoHyphens/>
              <w:ind w:left="34"/>
            </w:pPr>
            <w:r w:rsidRPr="00EE10B8">
              <w:t>2016.évi CL. törvény az általános közigazgatási rendtartásról</w:t>
            </w:r>
          </w:p>
          <w:p w:rsidR="00AB0E41" w:rsidRPr="00EE10B8" w:rsidRDefault="00EE10B8" w:rsidP="00EE10B8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B8">
              <w:rPr>
                <w:rFonts w:ascii="Times New Roman" w:hAnsi="Times New Roman"/>
                <w:sz w:val="24"/>
                <w:szCs w:val="24"/>
              </w:rPr>
              <w:t xml:space="preserve">szakmai anyagok, módszertan, protokollok </w:t>
            </w:r>
          </w:p>
          <w:p w:rsidR="00EE10B8" w:rsidRPr="00EE10B8" w:rsidRDefault="00EE10B8" w:rsidP="00EE10B8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0B8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7" w:history="1">
              <w:r w:rsidRPr="00EE10B8">
                <w:rPr>
                  <w:rStyle w:val="Hiperhivatkoz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http://szocialisportal.hu/kereses?p_p_id=3&amp;p_p_lifecycle=0&amp;p_p_state</w:t>
              </w:r>
            </w:hyperlink>
            <w:r w:rsidRPr="00EE10B8">
              <w:rPr>
                <w:rFonts w:ascii="Times New Roman" w:hAnsi="Times New Roman"/>
                <w:sz w:val="24"/>
                <w:szCs w:val="24"/>
              </w:rPr>
              <w:t>=</w:t>
            </w:r>
          </w:p>
          <w:p w:rsidR="00EE10B8" w:rsidRPr="00EE10B8" w:rsidRDefault="00EE10B8" w:rsidP="00EE10B8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normal&amp;p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_p_</w:t>
            </w: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mode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view&amp;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_3_</w:t>
            </w: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struts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action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=%2Fsearch%2Fsearch&amp;_3_</w:t>
            </w:r>
          </w:p>
          <w:p w:rsidR="00EE10B8" w:rsidRPr="00EE10B8" w:rsidRDefault="00EE10B8" w:rsidP="00EE10B8">
            <w:pPr>
              <w:pStyle w:val="Lbjegyzetszveg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keywords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=m%C3%B3dszertan&amp;_3_</w:t>
            </w:r>
            <w:proofErr w:type="spellStart"/>
            <w:r w:rsidRPr="00EE10B8">
              <w:rPr>
                <w:rFonts w:ascii="Times New Roman" w:hAnsi="Times New Roman"/>
                <w:sz w:val="24"/>
                <w:szCs w:val="24"/>
              </w:rPr>
              <w:t>groupId</w:t>
            </w:r>
            <w:proofErr w:type="spellEnd"/>
            <w:r w:rsidRPr="00EE10B8">
              <w:rPr>
                <w:rFonts w:ascii="Times New Roman" w:hAnsi="Times New Roman"/>
                <w:sz w:val="24"/>
                <w:szCs w:val="24"/>
              </w:rPr>
              <w:t>=10181&amp;x=0&amp;y=0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Ismeretek ellenőrzésének módja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EE10B8" w:rsidRDefault="00EE10B8" w:rsidP="00EE10B8">
            <w:pPr>
              <w:pStyle w:val="Szvegtrzs2"/>
              <w:spacing w:line="240" w:lineRule="auto"/>
              <w:rPr>
                <w:bCs/>
                <w:sz w:val="24"/>
                <w:szCs w:val="24"/>
              </w:rPr>
            </w:pPr>
            <w:r w:rsidRPr="00EE10B8">
              <w:rPr>
                <w:b/>
                <w:sz w:val="24"/>
                <w:szCs w:val="24"/>
              </w:rPr>
              <w:t>esettanulmányok, témakidolgozások, dolgozatok</w:t>
            </w:r>
          </w:p>
        </w:tc>
      </w:tr>
      <w:tr w:rsidR="00AB0E41" w:rsidTr="00EE10B8">
        <w:trPr>
          <w:jc w:val="center"/>
        </w:trPr>
        <w:tc>
          <w:tcPr>
            <w:tcW w:w="2210" w:type="dxa"/>
            <w:vAlign w:val="center"/>
          </w:tcPr>
          <w:p w:rsidR="00AB0E41" w:rsidRPr="001F6121" w:rsidRDefault="00AB0E41" w:rsidP="001F6121">
            <w:r w:rsidRPr="001F6121">
              <w:t>Tantárgy tárgyi követelményei</w:t>
            </w:r>
          </w:p>
        </w:tc>
        <w:tc>
          <w:tcPr>
            <w:tcW w:w="8161" w:type="dxa"/>
            <w:gridSpan w:val="3"/>
            <w:vAlign w:val="center"/>
          </w:tcPr>
          <w:p w:rsidR="00AB0E41" w:rsidRPr="00EE10B8" w:rsidRDefault="00AB0E41" w:rsidP="001F6121">
            <w:pPr>
              <w:rPr>
                <w:b/>
              </w:rPr>
            </w:pPr>
            <w:r w:rsidRPr="00EE10B8">
              <w:rPr>
                <w:b/>
              </w:rPr>
              <w:t>tanterem – projektor</w:t>
            </w:r>
            <w:r w:rsidR="00C039DF" w:rsidRPr="00EE10B8">
              <w:rPr>
                <w:b/>
              </w:rPr>
              <w:t xml:space="preserve"> – számítógép </w:t>
            </w:r>
          </w:p>
        </w:tc>
      </w:tr>
    </w:tbl>
    <w:p w:rsidR="004C37D9" w:rsidRDefault="004C37D9"/>
    <w:sectPr w:rsidR="004C37D9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783"/>
    <w:multiLevelType w:val="hybridMultilevel"/>
    <w:tmpl w:val="F03CBD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E508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AEA72DD"/>
    <w:multiLevelType w:val="hybridMultilevel"/>
    <w:tmpl w:val="72521826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32DD0"/>
    <w:multiLevelType w:val="hybridMultilevel"/>
    <w:tmpl w:val="06A422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C06681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8744663"/>
    <w:multiLevelType w:val="hybridMultilevel"/>
    <w:tmpl w:val="FD9C00C6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227D8"/>
    <w:multiLevelType w:val="singleLevel"/>
    <w:tmpl w:val="690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528A4D2E"/>
    <w:multiLevelType w:val="hybridMultilevel"/>
    <w:tmpl w:val="53A42202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53AD668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961279E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</w:abstractNum>
  <w:abstractNum w:abstractNumId="10">
    <w:nsid w:val="5B081CB4"/>
    <w:multiLevelType w:val="hybridMultilevel"/>
    <w:tmpl w:val="9F249128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62D540EF"/>
    <w:multiLevelType w:val="hybridMultilevel"/>
    <w:tmpl w:val="C81A2E6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A1B580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226784B"/>
    <w:multiLevelType w:val="hybridMultilevel"/>
    <w:tmpl w:val="C3BA2F5C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43D17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4EB23F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78B8792F"/>
    <w:multiLevelType w:val="hybridMultilevel"/>
    <w:tmpl w:val="09C4FF00"/>
    <w:lvl w:ilvl="0" w:tplc="6B50603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57E80"/>
    <w:multiLevelType w:val="hybridMultilevel"/>
    <w:tmpl w:val="A7225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8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13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0B01B2"/>
    <w:rsid w:val="00155773"/>
    <w:rsid w:val="00161CA3"/>
    <w:rsid w:val="001F6121"/>
    <w:rsid w:val="0023080D"/>
    <w:rsid w:val="00231E04"/>
    <w:rsid w:val="002B2599"/>
    <w:rsid w:val="002B4C5F"/>
    <w:rsid w:val="003367E5"/>
    <w:rsid w:val="00391BE0"/>
    <w:rsid w:val="00436CB3"/>
    <w:rsid w:val="0044503E"/>
    <w:rsid w:val="004A0081"/>
    <w:rsid w:val="004C37D9"/>
    <w:rsid w:val="004C3A8B"/>
    <w:rsid w:val="004D3F78"/>
    <w:rsid w:val="005A3599"/>
    <w:rsid w:val="005B518C"/>
    <w:rsid w:val="006253C1"/>
    <w:rsid w:val="00653B1D"/>
    <w:rsid w:val="00720CB8"/>
    <w:rsid w:val="007926B6"/>
    <w:rsid w:val="007D2BCC"/>
    <w:rsid w:val="00840562"/>
    <w:rsid w:val="008C647F"/>
    <w:rsid w:val="009076EA"/>
    <w:rsid w:val="0098223D"/>
    <w:rsid w:val="009A72A9"/>
    <w:rsid w:val="00A37AB5"/>
    <w:rsid w:val="00A6705B"/>
    <w:rsid w:val="00AB0E41"/>
    <w:rsid w:val="00AF3205"/>
    <w:rsid w:val="00C039DF"/>
    <w:rsid w:val="00CC6BED"/>
    <w:rsid w:val="00D23A7D"/>
    <w:rsid w:val="00DC61AD"/>
    <w:rsid w:val="00DD4BDF"/>
    <w:rsid w:val="00DE32FE"/>
    <w:rsid w:val="00E36CB8"/>
    <w:rsid w:val="00E66FE3"/>
    <w:rsid w:val="00E865C3"/>
    <w:rsid w:val="00ED129E"/>
    <w:rsid w:val="00EE10B8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391BE0"/>
    <w:pPr>
      <w:spacing w:after="200" w:line="276" w:lineRule="auto"/>
    </w:pPr>
    <w:rPr>
      <w:rFonts w:ascii="Calibri" w:hAnsi="Calibri"/>
      <w:sz w:val="20"/>
      <w:szCs w:val="20"/>
      <w:lang w:eastAsia="en-US" w:bidi="en-US"/>
    </w:rPr>
  </w:style>
  <w:style w:type="character" w:customStyle="1" w:styleId="LbjegyzetszvegChar">
    <w:name w:val="Lábjegyzetszöveg Char"/>
    <w:link w:val="Lbjegyzetszveg"/>
    <w:semiHidden/>
    <w:rsid w:val="00391BE0"/>
    <w:rPr>
      <w:rFonts w:ascii="Calibri" w:hAnsi="Calibri"/>
      <w:lang w:eastAsia="en-US" w:bidi="en-US"/>
    </w:rPr>
  </w:style>
  <w:style w:type="paragraph" w:styleId="Szvegtrzs2">
    <w:name w:val="Body Text 2"/>
    <w:basedOn w:val="Norml"/>
    <w:link w:val="Szvegtrzs2Char"/>
    <w:uiPriority w:val="99"/>
    <w:rsid w:val="00DC61A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C61AD"/>
  </w:style>
  <w:style w:type="paragraph" w:styleId="Listaszerbekezds">
    <w:name w:val="List Paragraph"/>
    <w:basedOn w:val="Norml"/>
    <w:uiPriority w:val="34"/>
    <w:qFormat/>
    <w:rsid w:val="00ED129E"/>
    <w:pPr>
      <w:ind w:left="720"/>
      <w:contextualSpacing/>
    </w:pPr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E1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391BE0"/>
    <w:pPr>
      <w:spacing w:after="200" w:line="276" w:lineRule="auto"/>
    </w:pPr>
    <w:rPr>
      <w:rFonts w:ascii="Calibri" w:hAnsi="Calibri"/>
      <w:sz w:val="20"/>
      <w:szCs w:val="20"/>
      <w:lang w:eastAsia="en-US" w:bidi="en-US"/>
    </w:rPr>
  </w:style>
  <w:style w:type="character" w:customStyle="1" w:styleId="LbjegyzetszvegChar">
    <w:name w:val="Lábjegyzetszöveg Char"/>
    <w:link w:val="Lbjegyzetszveg"/>
    <w:semiHidden/>
    <w:rsid w:val="00391BE0"/>
    <w:rPr>
      <w:rFonts w:ascii="Calibri" w:hAnsi="Calibri"/>
      <w:lang w:eastAsia="en-US" w:bidi="en-US"/>
    </w:rPr>
  </w:style>
  <w:style w:type="paragraph" w:styleId="Szvegtrzs2">
    <w:name w:val="Body Text 2"/>
    <w:basedOn w:val="Norml"/>
    <w:link w:val="Szvegtrzs2Char"/>
    <w:uiPriority w:val="99"/>
    <w:rsid w:val="00DC61AD"/>
    <w:pPr>
      <w:spacing w:after="120" w:line="480" w:lineRule="auto"/>
    </w:pPr>
    <w:rPr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C61AD"/>
  </w:style>
  <w:style w:type="paragraph" w:styleId="Listaszerbekezds">
    <w:name w:val="List Paragraph"/>
    <w:basedOn w:val="Norml"/>
    <w:uiPriority w:val="34"/>
    <w:qFormat/>
    <w:rsid w:val="00ED129E"/>
    <w:pPr>
      <w:ind w:left="720"/>
      <w:contextualSpacing/>
    </w:pPr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E1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zocialisportal.hu/kereses?p_p_id=3&amp;p_p_lifecycle=0&amp;p_p_s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2</cp:revision>
  <dcterms:created xsi:type="dcterms:W3CDTF">2022-01-27T11:23:00Z</dcterms:created>
  <dcterms:modified xsi:type="dcterms:W3CDTF">2022-01-27T11:23:00Z</dcterms:modified>
</cp:coreProperties>
</file>