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226A1">
        <w:rPr>
          <w:noProof/>
          <w:sz w:val="16"/>
          <w:szCs w:val="16"/>
        </w:rPr>
        <w:drawing>
          <wp:inline distT="0" distB="0" distL="0" distR="0">
            <wp:extent cx="636270" cy="668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2745A1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0F6D98" w:rsidP="00155773">
            <w:pPr>
              <w:rPr>
                <w:b/>
              </w:rPr>
            </w:pPr>
            <w:r>
              <w:rPr>
                <w:b/>
              </w:rPr>
              <w:t>SMAK6</w:t>
            </w:r>
            <w:r w:rsidR="004C597E">
              <w:rPr>
                <w:b/>
              </w:rPr>
              <w:t>09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0F6D98" w:rsidP="00155773">
            <w:pPr>
              <w:rPr>
                <w:b/>
              </w:rPr>
            </w:pPr>
            <w:r>
              <w:rPr>
                <w:b/>
              </w:rPr>
              <w:t>Nagygyakorlat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E46841" w:rsidP="00155773">
            <w:pPr>
              <w:rPr>
                <w:b/>
              </w:rPr>
            </w:pPr>
            <w:r>
              <w:rPr>
                <w:b/>
              </w:rPr>
              <w:t xml:space="preserve">Udvari </w:t>
            </w:r>
            <w:proofErr w:type="spellStart"/>
            <w:r>
              <w:rPr>
                <w:b/>
              </w:rPr>
              <w:t>Kerstin</w:t>
            </w:r>
            <w:proofErr w:type="spellEnd"/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0226A1" w:rsidP="00155773">
            <w:pPr>
              <w:rPr>
                <w:b/>
              </w:rPr>
            </w:pPr>
            <w:r>
              <w:rPr>
                <w:b/>
              </w:rPr>
              <w:t>tanszékvezető</w:t>
            </w:r>
          </w:p>
          <w:p w:rsidR="00E46841" w:rsidRPr="00231E04" w:rsidRDefault="00E46841" w:rsidP="00155773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Default="004C597E" w:rsidP="00155773">
            <w:pPr>
              <w:rPr>
                <w:b/>
              </w:rPr>
            </w:pPr>
            <w:r>
              <w:rPr>
                <w:b/>
              </w:rPr>
              <w:t>nappali tagozaton 30</w:t>
            </w:r>
            <w:r w:rsidR="00EA08F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0226A1">
              <w:rPr>
                <w:b/>
              </w:rPr>
              <w:t>óra</w:t>
            </w:r>
          </w:p>
          <w:p w:rsidR="000226A1" w:rsidRPr="00231E04" w:rsidRDefault="000226A1" w:rsidP="000226A1">
            <w:pPr>
              <w:rPr>
                <w:b/>
              </w:rPr>
            </w:pPr>
            <w:r>
              <w:rPr>
                <w:b/>
              </w:rPr>
              <w:t>levelező tagozaton 12</w:t>
            </w:r>
            <w:r w:rsidR="00EA08FE">
              <w:rPr>
                <w:b/>
              </w:rPr>
              <w:t>0</w:t>
            </w:r>
            <w:r>
              <w:rPr>
                <w:b/>
              </w:rPr>
              <w:t xml:space="preserve"> óra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terepgyakorlat 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155773" w:rsidRPr="00231E04">
              <w:rPr>
                <w:b/>
              </w:rPr>
              <w:t xml:space="preserve">félév 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EA08FE" w:rsidP="00FC62A0">
            <w:pPr>
              <w:jc w:val="both"/>
            </w:pPr>
            <w:r w:rsidRPr="000C5EB9">
              <w:t>A hallgató elméleti tudása a gyakorlatban is érvényesüljön, váljék lehetővé a gyakorlat során a tudás integrálódása. A diploma megszerzése után a hallgató legyen képes önálló munkavégzésre és a szociális munka ismereteinek, módszereinek, eszközeinek, rendszereinek használatára a szociális munkaformák valamennyi területén. (Gyakorlóhelytől függően szerezzen jártasságot az önálló esetvezetésben, esettanulmány készítésében, szociális csoportmunkában, és/vagy közösségi munkában. ) A gyakorlat segítse hozzá a hallgatót, hogy legyen képes a célok és feladatok meghatározására, az önálló probléma-megfogalmazásra, a leghatékonyabb munkaforma kiválasztására.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C62A0" w:rsidP="00FC62A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B77E9B" w:rsidRPr="00E865C3" w:rsidRDefault="00B77E9B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0F6D98" w:rsidRDefault="000F6D98" w:rsidP="000F6D98">
            <w:pPr>
              <w:ind w:left="340"/>
            </w:pPr>
            <w:r w:rsidRPr="003A28A4">
              <w:rPr>
                <w:b/>
                <w:bCs/>
                <w:sz w:val="22"/>
              </w:rPr>
              <w:t>tudása</w:t>
            </w:r>
          </w:p>
          <w:p w:rsidR="000F6D98" w:rsidRPr="00B2721D" w:rsidRDefault="000F6D98" w:rsidP="000F6D98">
            <w:r w:rsidRPr="00B2721D">
              <w:t>Ismeri a szociális munka beavatkozásra, együttműködések kialakítására, szociális problémák megelőzésére és kezelésére felhasználható módszereit, eljárásait.</w:t>
            </w:r>
          </w:p>
          <w:p w:rsidR="000F6D98" w:rsidRDefault="000F6D98" w:rsidP="000F6D98">
            <w:r w:rsidRPr="00B2721D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0F6D98" w:rsidRPr="000F6D98" w:rsidRDefault="000F6D98" w:rsidP="000F6D98">
            <w:r w:rsidRPr="00B2721D">
              <w:t>Ismeri más segítő szakmák kompetenciaköreit, felkészült a gyakorlat során felmerülő problémák szakmai illetékességének felismerésére, és más szakmák szakembereivel való szakszerű együttműködésre</w:t>
            </w:r>
          </w:p>
          <w:p w:rsidR="002A4E50" w:rsidRDefault="002A4E50" w:rsidP="002A4E50">
            <w:pPr>
              <w:spacing w:before="120"/>
              <w:ind w:firstLine="238"/>
              <w:rPr>
                <w:b/>
                <w:bCs/>
              </w:rPr>
            </w:pPr>
            <w:r w:rsidRPr="00B2721D">
              <w:rPr>
                <w:b/>
                <w:bCs/>
              </w:rPr>
              <w:t>képességei</w:t>
            </w:r>
          </w:p>
          <w:p w:rsidR="000F6D98" w:rsidRPr="00B2721D" w:rsidRDefault="000F6D98" w:rsidP="000F6D98">
            <w:r w:rsidRPr="00B2721D">
              <w:t>Képes szükségletfelmérésre, az egyén és környezete közötti folyamatoknak, kölcsönhatásoknak, problémáknak holisztikus elemzésére.</w:t>
            </w:r>
          </w:p>
          <w:p w:rsidR="000F6D98" w:rsidRPr="00B2721D" w:rsidRDefault="000F6D98" w:rsidP="000F6D98">
            <w:r w:rsidRPr="00B2721D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0F6D98" w:rsidRPr="00B2721D" w:rsidRDefault="000F6D98" w:rsidP="000F6D98">
            <w:pPr>
              <w:spacing w:before="120"/>
            </w:pPr>
            <w:r w:rsidRPr="00B2721D">
              <w:t>Felkészült a szakmai csapatmunkára, a partneri együttműködésekre az érintettekkel, szakmai szervezetekkel, a társszakmák és a közigazgatás szakembereivel, önkéntesekkel.</w:t>
            </w:r>
          </w:p>
          <w:p w:rsidR="002A4E50" w:rsidRPr="00B2721D" w:rsidRDefault="002A4E50" w:rsidP="002A4E50">
            <w:pPr>
              <w:spacing w:before="120"/>
              <w:ind w:firstLine="238"/>
            </w:pPr>
            <w:r w:rsidRPr="00B2721D">
              <w:rPr>
                <w:b/>
                <w:bCs/>
              </w:rPr>
              <w:lastRenderedPageBreak/>
              <w:t>attitűdje</w:t>
            </w:r>
          </w:p>
          <w:p w:rsidR="002A4E50" w:rsidRDefault="002A4E50" w:rsidP="002A4E50"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2A4E50" w:rsidRDefault="002A4E50" w:rsidP="002A4E50">
            <w:r w:rsidRPr="00B2721D">
              <w:t>Nyitott mások megismerésére, empátiával viszonyul az emberekhez, családokhoz, csoportokhoz és közösségekhez.</w:t>
            </w:r>
          </w:p>
          <w:p w:rsidR="002A4E50" w:rsidRPr="00B2721D" w:rsidRDefault="002A4E50" w:rsidP="002A4E50">
            <w:pPr>
              <w:spacing w:before="120"/>
              <w:ind w:firstLine="238"/>
            </w:pPr>
            <w:r w:rsidRPr="00B2721D">
              <w:rPr>
                <w:b/>
                <w:bCs/>
              </w:rPr>
              <w:t>autonómiája és felelőssége</w:t>
            </w:r>
          </w:p>
          <w:p w:rsidR="00B77E9B" w:rsidRDefault="002A4E50" w:rsidP="002A4E50">
            <w:pPr>
              <w:jc w:val="both"/>
              <w:rPr>
                <w:b/>
              </w:rPr>
            </w:pPr>
            <w:r w:rsidRPr="00B2721D">
              <w:t xml:space="preserve">Autonóm módon képes felismerni szerepét és helyét a szociális munka </w:t>
            </w:r>
            <w:bookmarkStart w:id="0" w:name="_GoBack"/>
            <w:bookmarkEnd w:id="0"/>
            <w:r w:rsidRPr="00B2721D">
              <w:t>közvetlen gyakorlatában, a különböző szinteken megvalósuló csapatmunkában. Kommunikációjáért hatáskörén belü</w:t>
            </w:r>
            <w:r>
              <w:t>l mindenkor felelősséget vállal.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0F6D98" w:rsidRPr="000C5EB9" w:rsidRDefault="000F6D98" w:rsidP="000F6D98">
            <w:pPr>
              <w:jc w:val="both"/>
              <w:rPr>
                <w:b/>
              </w:rPr>
            </w:pPr>
            <w:r w:rsidRPr="000C5EB9">
              <w:rPr>
                <w:b/>
              </w:rPr>
              <w:t>Követelmények:</w:t>
            </w:r>
          </w:p>
          <w:p w:rsidR="000F6D98" w:rsidRPr="000C5EB9" w:rsidRDefault="000F6D98" w:rsidP="000F6D98">
            <w:pPr>
              <w:jc w:val="both"/>
              <w:rPr>
                <w:b/>
                <w:i/>
              </w:rPr>
            </w:pPr>
            <w:r w:rsidRPr="000C5EB9">
              <w:rPr>
                <w:b/>
                <w:i/>
              </w:rPr>
              <w:t xml:space="preserve">I. </w:t>
            </w:r>
            <w:proofErr w:type="gramStart"/>
            <w:r w:rsidRPr="000C5EB9">
              <w:rPr>
                <w:b/>
                <w:i/>
              </w:rPr>
              <w:t>A</w:t>
            </w:r>
            <w:proofErr w:type="gramEnd"/>
            <w:r w:rsidRPr="000C5EB9">
              <w:rPr>
                <w:b/>
                <w:i/>
              </w:rPr>
              <w:t xml:space="preserve"> szociális intézmények megismerése, helye a szociális ellátórendszerben</w:t>
            </w:r>
          </w:p>
          <w:p w:rsidR="000F6D98" w:rsidRPr="000C5EB9" w:rsidRDefault="000F6D98" w:rsidP="000F6D98">
            <w:pPr>
              <w:numPr>
                <w:ilvl w:val="0"/>
                <w:numId w:val="2"/>
              </w:numPr>
              <w:jc w:val="both"/>
            </w:pPr>
            <w:r w:rsidRPr="000C5EB9">
              <w:t>Ismerje meg az adott intézmény felépítését, működését, a szervezet struktúráját, az intézmény működésének jogszabályi hátterét, dokumentációját, az igénybevevők körét.</w:t>
            </w:r>
          </w:p>
          <w:p w:rsidR="000F6D98" w:rsidRDefault="000F6D98" w:rsidP="000F6D98">
            <w:pPr>
              <w:numPr>
                <w:ilvl w:val="0"/>
                <w:numId w:val="2"/>
              </w:numPr>
              <w:jc w:val="both"/>
            </w:pPr>
            <w:r w:rsidRPr="000C5EB9">
              <w:t>Ismerje meg az intézmény ellátási területét, ellátotti körét és célját, az intézmény kapcsolatrendszerét</w:t>
            </w:r>
            <w:r w:rsidRPr="000C5EB9">
              <w:rPr>
                <w:b/>
                <w:i/>
              </w:rPr>
              <w:t>,</w:t>
            </w:r>
            <w:r w:rsidRPr="000C5EB9">
              <w:t xml:space="preserve"> belső és külső kommunikációs eszközeit, (elismertségét, hírnevét, róla kialakított képet) reputációját a kapcsolatrendszerében, klientúrájában, működési közegében, ezt vesse össze az önképpel, vonja le a tanulságokat.</w:t>
            </w:r>
          </w:p>
          <w:p w:rsidR="000F6D98" w:rsidRPr="000C5EB9" w:rsidRDefault="000F6D98" w:rsidP="000F6D98">
            <w:pPr>
              <w:ind w:left="720"/>
              <w:jc w:val="both"/>
            </w:pPr>
          </w:p>
          <w:p w:rsidR="000F6D98" w:rsidRPr="000C5EB9" w:rsidRDefault="000F6D98" w:rsidP="000F6D98">
            <w:pPr>
              <w:jc w:val="both"/>
              <w:rPr>
                <w:b/>
                <w:i/>
              </w:rPr>
            </w:pPr>
            <w:r w:rsidRPr="000C5EB9">
              <w:rPr>
                <w:b/>
                <w:i/>
              </w:rPr>
              <w:t>II. Szociális munka a terepintézményben</w:t>
            </w:r>
          </w:p>
          <w:p w:rsidR="000F6D98" w:rsidRPr="000C5EB9" w:rsidRDefault="000F6D98" w:rsidP="000F6D98">
            <w:pPr>
              <w:numPr>
                <w:ilvl w:val="0"/>
                <w:numId w:val="2"/>
              </w:numPr>
              <w:jc w:val="both"/>
            </w:pPr>
            <w:r w:rsidRPr="000C5EB9">
              <w:t>Szerezzen tapasztalatot az adott intézményen belül a szociális munkás szerepéről, kompetenciájáról.</w:t>
            </w:r>
          </w:p>
          <w:p w:rsidR="000F6D98" w:rsidRPr="000C5EB9" w:rsidRDefault="000F6D98" w:rsidP="000F6D98">
            <w:pPr>
              <w:numPr>
                <w:ilvl w:val="0"/>
                <w:numId w:val="2"/>
              </w:numPr>
              <w:jc w:val="both"/>
            </w:pPr>
            <w:r w:rsidRPr="000C5EB9">
              <w:t xml:space="preserve"> Vegyen részt szakmai fórumokon, értekezleteken, esetleges akciókon, demonstrációkon.</w:t>
            </w:r>
          </w:p>
          <w:p w:rsidR="000F6D98" w:rsidRPr="000C5EB9" w:rsidRDefault="000F6D98" w:rsidP="000F6D98">
            <w:pPr>
              <w:numPr>
                <w:ilvl w:val="0"/>
                <w:numId w:val="2"/>
              </w:numPr>
              <w:jc w:val="both"/>
            </w:pPr>
            <w:r w:rsidRPr="000C5EB9">
              <w:t>Ismerje meg a munkavégzéshez kapcsolódó adminisztrációs feladatokat, vegyen részt az ügyeleti munkában.</w:t>
            </w:r>
          </w:p>
          <w:p w:rsidR="000F6D98" w:rsidRPr="000C5EB9" w:rsidRDefault="000F6D98" w:rsidP="000F6D98">
            <w:pPr>
              <w:ind w:firstLine="360"/>
              <w:jc w:val="both"/>
            </w:pPr>
            <w:r w:rsidRPr="000C5EB9">
              <w:t>-</w:t>
            </w:r>
            <w:r w:rsidRPr="000C5EB9">
              <w:tab/>
              <w:t>Vegyen részt esetmeg</w:t>
            </w:r>
            <w:r>
              <w:t xml:space="preserve">beszélő csoportokon és teamen. </w:t>
            </w:r>
          </w:p>
          <w:p w:rsidR="000F6D98" w:rsidRPr="000C5EB9" w:rsidRDefault="000F6D98" w:rsidP="000F6D98">
            <w:pPr>
              <w:jc w:val="both"/>
            </w:pPr>
          </w:p>
          <w:p w:rsidR="000F6D98" w:rsidRPr="000C5EB9" w:rsidRDefault="000F6D98" w:rsidP="000F6D98">
            <w:pPr>
              <w:jc w:val="both"/>
              <w:rPr>
                <w:b/>
                <w:i/>
              </w:rPr>
            </w:pPr>
            <w:r w:rsidRPr="000C5EB9">
              <w:rPr>
                <w:b/>
                <w:i/>
              </w:rPr>
              <w:t>III. Szociális munka a klienssel</w:t>
            </w:r>
          </w:p>
          <w:p w:rsidR="000F6D98" w:rsidRPr="000C5EB9" w:rsidRDefault="000F6D98" w:rsidP="000F6D98">
            <w:pPr>
              <w:ind w:left="705" w:hanging="421"/>
              <w:jc w:val="both"/>
            </w:pPr>
            <w:r w:rsidRPr="000C5EB9">
              <w:t>-</w:t>
            </w:r>
            <w:r w:rsidRPr="000C5EB9">
              <w:tab/>
            </w:r>
            <w:r w:rsidRPr="000C5EB9">
              <w:tab/>
              <w:t>A hallgató legyen képes esetismertetéseknél meghatározott szempontok szerinti megfigyelésre.</w:t>
            </w:r>
          </w:p>
          <w:p w:rsidR="000F6D98" w:rsidRPr="000C5EB9" w:rsidRDefault="000F6D98" w:rsidP="000F6D98">
            <w:pPr>
              <w:ind w:left="705" w:hanging="421"/>
              <w:jc w:val="both"/>
            </w:pPr>
            <w:r w:rsidRPr="000C5EB9">
              <w:t>-</w:t>
            </w:r>
            <w:r w:rsidRPr="000C5EB9">
              <w:tab/>
              <w:t>Sajátítsa el azokat a képességekkel és készségekkel, amelyek zökkenőmentessé teszik az esetkezelés folyamatába való belépést és kilépést.</w:t>
            </w:r>
          </w:p>
          <w:p w:rsidR="000F6D98" w:rsidRPr="000C5EB9" w:rsidRDefault="000F6D98" w:rsidP="000F6D98">
            <w:pPr>
              <w:ind w:left="705" w:hanging="345"/>
              <w:jc w:val="both"/>
            </w:pPr>
            <w:r w:rsidRPr="000C5EB9">
              <w:t>-</w:t>
            </w:r>
            <w:r w:rsidRPr="000C5EB9">
              <w:tab/>
              <w:t>A tereptanár irányításával vegyen részt egy esetkezelési folyamatban, ismerje meg az eset megoldása során alkalmazható intézményi kapcsolatrendszert.</w:t>
            </w:r>
          </w:p>
          <w:p w:rsidR="000F6D98" w:rsidRPr="000C5EB9" w:rsidRDefault="000F6D98" w:rsidP="000F6D98">
            <w:pPr>
              <w:ind w:firstLine="360"/>
              <w:jc w:val="both"/>
            </w:pPr>
            <w:r w:rsidRPr="000C5EB9">
              <w:t>-</w:t>
            </w:r>
            <w:r w:rsidRPr="000C5EB9">
              <w:tab/>
              <w:t>Ismerje és tartsa be az Etikai kódex alapelveit.</w:t>
            </w:r>
          </w:p>
          <w:p w:rsidR="000F6D98" w:rsidRPr="000C5EB9" w:rsidRDefault="000F6D98" w:rsidP="000F6D98">
            <w:pPr>
              <w:ind w:left="705" w:hanging="345"/>
              <w:jc w:val="both"/>
            </w:pPr>
            <w:r w:rsidRPr="000C5EB9">
              <w:t>-</w:t>
            </w:r>
            <w:r w:rsidRPr="000C5EB9">
              <w:tab/>
              <w:t>A hallgatónak legyen lehetősége önálló esetvezetésre, a problémamegoldó modell alkalmazására, önálló probléma-és célmeghatározásra, feladat meghatározásra, határidők kitűzésére, visszacsatolásokra, gondozási terv kidolgozására. A tereptanár segítségével határozzon meg célokat és megoldási alternatívákat, az esetfolyamat nyomon követésének dokumentálási módját.</w:t>
            </w:r>
          </w:p>
          <w:p w:rsidR="000F6D98" w:rsidRPr="000C5EB9" w:rsidRDefault="000F6D98" w:rsidP="000F6D98">
            <w:pPr>
              <w:ind w:firstLine="360"/>
              <w:jc w:val="both"/>
            </w:pPr>
          </w:p>
          <w:p w:rsidR="000F6D98" w:rsidRPr="000C5EB9" w:rsidRDefault="000F6D98" w:rsidP="000F6D98">
            <w:pPr>
              <w:jc w:val="both"/>
              <w:rPr>
                <w:b/>
                <w:i/>
              </w:rPr>
            </w:pPr>
            <w:r w:rsidRPr="000C5EB9">
              <w:rPr>
                <w:b/>
                <w:i/>
              </w:rPr>
              <w:lastRenderedPageBreak/>
              <w:t xml:space="preserve">IV. Szociális </w:t>
            </w:r>
            <w:proofErr w:type="gramStart"/>
            <w:r w:rsidRPr="000C5EB9">
              <w:rPr>
                <w:b/>
                <w:i/>
              </w:rPr>
              <w:t>munka csoporttal</w:t>
            </w:r>
            <w:proofErr w:type="gramEnd"/>
          </w:p>
          <w:p w:rsidR="000F6D98" w:rsidRPr="000C5EB9" w:rsidRDefault="000F6D98" w:rsidP="000F6D98">
            <w:pPr>
              <w:ind w:left="709" w:hanging="345"/>
              <w:jc w:val="both"/>
            </w:pPr>
            <w:r w:rsidRPr="000C5EB9">
              <w:t xml:space="preserve">- </w:t>
            </w:r>
            <w:r w:rsidRPr="000C5EB9">
              <w:tab/>
              <w:t>A hallgató ismerje meg a csoportokkal végzett szociális munkaalkalmazási területeit, lehetőségeit, kereteit.</w:t>
            </w:r>
          </w:p>
          <w:p w:rsidR="000F6D98" w:rsidRPr="000C5EB9" w:rsidRDefault="000F6D98" w:rsidP="000F6D98">
            <w:pPr>
              <w:ind w:left="705" w:hanging="345"/>
              <w:jc w:val="both"/>
            </w:pPr>
            <w:r w:rsidRPr="000C5EB9">
              <w:t xml:space="preserve">- </w:t>
            </w:r>
            <w:r w:rsidRPr="000C5EB9">
              <w:tab/>
              <w:t>Ismerje meg a szociális munkás szerepét és kompetenciáját a csoportokkal végzett munkában.</w:t>
            </w:r>
          </w:p>
          <w:p w:rsidR="000F6D98" w:rsidRPr="000C5EB9" w:rsidRDefault="000F6D98" w:rsidP="000F6D98">
            <w:pPr>
              <w:ind w:left="705" w:hanging="345"/>
              <w:jc w:val="both"/>
            </w:pPr>
            <w:r w:rsidRPr="000C5EB9">
              <w:t>- A kompetenciahatárok betartásával szerezzen jártasságot a csoportokkal, ill. csoportokban végzett szociális munkában.</w:t>
            </w:r>
          </w:p>
          <w:p w:rsidR="000F6D98" w:rsidRPr="000C5EB9" w:rsidRDefault="000F6D98" w:rsidP="000F6D98">
            <w:pPr>
              <w:ind w:left="705" w:hanging="345"/>
              <w:jc w:val="both"/>
            </w:pPr>
            <w:r w:rsidRPr="000C5EB9">
              <w:t xml:space="preserve">- </w:t>
            </w:r>
            <w:r w:rsidRPr="000C5EB9">
              <w:tab/>
              <w:t>Váljon képessé a csoportfolyamat elemzésére és hatékony intervenciók megtervezésére.</w:t>
            </w:r>
          </w:p>
          <w:p w:rsidR="000F6D98" w:rsidRPr="000C5EB9" w:rsidRDefault="000F6D98" w:rsidP="000F6D98">
            <w:pPr>
              <w:jc w:val="both"/>
              <w:rPr>
                <w:b/>
              </w:rPr>
            </w:pPr>
          </w:p>
          <w:p w:rsidR="000F6D98" w:rsidRPr="000C5EB9" w:rsidRDefault="000F6D98" w:rsidP="000F6D98">
            <w:pPr>
              <w:jc w:val="both"/>
              <w:rPr>
                <w:b/>
                <w:i/>
              </w:rPr>
            </w:pPr>
            <w:r w:rsidRPr="000C5EB9">
              <w:rPr>
                <w:b/>
                <w:i/>
              </w:rPr>
              <w:t>V. Közösségi szociális munka</w:t>
            </w:r>
          </w:p>
          <w:p w:rsidR="000F6D98" w:rsidRPr="000C5EB9" w:rsidRDefault="000F6D98" w:rsidP="000F6D98">
            <w:pPr>
              <w:ind w:left="708"/>
              <w:jc w:val="both"/>
            </w:pPr>
            <w:r w:rsidRPr="000C5EB9">
              <w:t>Alkalmazza a tanult elmélet egy projektben az igényfelméréstől az erőforrás-felmérés, a célkitűzés, a tervezés, a fejlesztés, a szervezésen át az értékelésig.</w:t>
            </w:r>
          </w:p>
          <w:p w:rsidR="000F6D98" w:rsidRPr="000C5EB9" w:rsidRDefault="000F6D98" w:rsidP="000F6D98">
            <w:pPr>
              <w:ind w:left="708"/>
              <w:jc w:val="both"/>
            </w:pPr>
            <w:r w:rsidRPr="000C5EB9">
              <w:t>Ismerje meg a projekt belső és külső kommunikációjának tervezését, megvalósítását, értékelését.</w:t>
            </w:r>
          </w:p>
          <w:p w:rsidR="000F6D98" w:rsidRPr="000C5EB9" w:rsidRDefault="000F6D98" w:rsidP="000F6D98">
            <w:pPr>
              <w:jc w:val="both"/>
            </w:pPr>
          </w:p>
          <w:p w:rsidR="000F6D98" w:rsidRPr="000C5EB9" w:rsidRDefault="000F6D98" w:rsidP="000F6D98">
            <w:pPr>
              <w:jc w:val="both"/>
            </w:pPr>
            <w:r w:rsidRPr="000C5EB9">
              <w:rPr>
                <w:b/>
              </w:rPr>
              <w:t>Ajánlott terepek:</w:t>
            </w:r>
            <w:r w:rsidRPr="000C5EB9">
              <w:t xml:space="preserve"> </w:t>
            </w:r>
          </w:p>
          <w:p w:rsidR="004C597E" w:rsidRPr="008C647F" w:rsidRDefault="000F6D98" w:rsidP="000F6D98">
            <w:pPr>
              <w:jc w:val="both"/>
            </w:pPr>
            <w:r w:rsidRPr="000C5EB9">
              <w:t xml:space="preserve">Valamennyi szociális tevékenységet folytató szervezet, ahol a szociális munkakülönböző formáit (egyéni esetmunka, szociális </w:t>
            </w:r>
            <w:proofErr w:type="gramStart"/>
            <w:r w:rsidRPr="000C5EB9">
              <w:t>munka csoporttal</w:t>
            </w:r>
            <w:proofErr w:type="gramEnd"/>
            <w:r w:rsidRPr="000C5EB9">
              <w:t xml:space="preserve">, közösségi munka) alkalmazzák. 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155773" w:rsidP="00FC62A0"/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0F6D98" w:rsidRPr="000C5EB9" w:rsidRDefault="000F6D98" w:rsidP="000F6D98">
            <w:pPr>
              <w:jc w:val="both"/>
              <w:rPr>
                <w:b/>
              </w:rPr>
            </w:pPr>
            <w:r w:rsidRPr="000C5EB9">
              <w:rPr>
                <w:b/>
              </w:rPr>
              <w:t xml:space="preserve">Értékelés: </w:t>
            </w:r>
          </w:p>
          <w:p w:rsidR="000F6D98" w:rsidRPr="000C5EB9" w:rsidRDefault="000F6D98" w:rsidP="000F6D98">
            <w:pPr>
              <w:jc w:val="both"/>
              <w:rPr>
                <w:b/>
              </w:rPr>
            </w:pPr>
            <w:r w:rsidRPr="000C5EB9">
              <w:rPr>
                <w:b/>
              </w:rPr>
              <w:t xml:space="preserve">A hallgató </w:t>
            </w:r>
          </w:p>
          <w:p w:rsidR="000F6D98" w:rsidRPr="000C5EB9" w:rsidRDefault="000F6D98" w:rsidP="000F6D98">
            <w:pPr>
              <w:numPr>
                <w:ilvl w:val="0"/>
                <w:numId w:val="4"/>
              </w:numPr>
              <w:jc w:val="both"/>
            </w:pPr>
            <w:r w:rsidRPr="000C5EB9">
              <w:rPr>
                <w:b/>
              </w:rPr>
              <w:t>Egyéni esetmunkában:</w:t>
            </w:r>
          </w:p>
          <w:p w:rsidR="000F6D98" w:rsidRPr="000C5EB9" w:rsidRDefault="000F6D98" w:rsidP="000F6D98">
            <w:pPr>
              <w:ind w:left="720"/>
              <w:jc w:val="both"/>
            </w:pPr>
            <w:r w:rsidRPr="000C5EB9">
              <w:t xml:space="preserve">esettanulmányt készít. </w:t>
            </w:r>
          </w:p>
          <w:p w:rsidR="000F6D98" w:rsidRPr="000C5EB9" w:rsidRDefault="000F6D98" w:rsidP="000F6D98">
            <w:pPr>
              <w:numPr>
                <w:ilvl w:val="0"/>
                <w:numId w:val="4"/>
              </w:numPr>
              <w:jc w:val="both"/>
            </w:pPr>
            <w:r w:rsidRPr="000C5EB9">
              <w:rPr>
                <w:b/>
              </w:rPr>
              <w:t>Csoportmunkában:</w:t>
            </w:r>
            <w:r w:rsidRPr="000C5EB9">
              <w:t xml:space="preserve"> </w:t>
            </w:r>
          </w:p>
          <w:p w:rsidR="000F6D98" w:rsidRPr="000C5EB9" w:rsidRDefault="000F6D98" w:rsidP="000F6D98">
            <w:pPr>
              <w:pStyle w:val="Listaszerbekezds"/>
              <w:jc w:val="both"/>
            </w:pPr>
            <w:r w:rsidRPr="000C5EB9">
              <w:t>a csoport intézményi hátterét, a csoport problémát, a célkitűzést, a csoport működését, a csoportdinamikai folyamatokat, csoport szerepeket, a csoport vezetőjének feladatait, szerepét, a szociális munkás csoportvezetési kompetenciáit önálló dolgozatban mutassa be.</w:t>
            </w:r>
          </w:p>
          <w:p w:rsidR="000F6D98" w:rsidRPr="000C5EB9" w:rsidRDefault="000F6D98" w:rsidP="000F6D98">
            <w:pPr>
              <w:numPr>
                <w:ilvl w:val="0"/>
                <w:numId w:val="4"/>
              </w:numPr>
              <w:jc w:val="both"/>
            </w:pPr>
            <w:r w:rsidRPr="000C5EB9">
              <w:rPr>
                <w:b/>
              </w:rPr>
              <w:t>Közösségi munkában:</w:t>
            </w:r>
          </w:p>
          <w:p w:rsidR="000F6D98" w:rsidRPr="000C5EB9" w:rsidRDefault="000F6D98" w:rsidP="000F6D98">
            <w:pPr>
              <w:ind w:left="720"/>
              <w:jc w:val="both"/>
            </w:pPr>
            <w:r w:rsidRPr="000C5EB9">
              <w:t>közösségi projekt munkát önálló dolgozatban mutassa be.</w:t>
            </w:r>
          </w:p>
          <w:p w:rsidR="000F6D98" w:rsidRPr="000C5EB9" w:rsidRDefault="000F6D98" w:rsidP="000F6D98">
            <w:pPr>
              <w:ind w:left="720"/>
              <w:jc w:val="both"/>
            </w:pPr>
          </w:p>
          <w:p w:rsidR="000F6D98" w:rsidRPr="000C5EB9" w:rsidRDefault="000F6D98" w:rsidP="000F6D98">
            <w:pPr>
              <w:jc w:val="both"/>
            </w:pPr>
            <w:r w:rsidRPr="000C5EB9">
              <w:t>Mindhárom esetben a foto, ill. a videó dokumentációs kiegészítő lehetőség felhasználása ajánlott és elfogadott.</w:t>
            </w:r>
          </w:p>
          <w:p w:rsidR="000F6D98" w:rsidRPr="000C5EB9" w:rsidRDefault="000F6D98" w:rsidP="000F6D98">
            <w:pPr>
              <w:jc w:val="both"/>
            </w:pPr>
            <w:r w:rsidRPr="000C5EB9">
              <w:t xml:space="preserve">A hallgató gyakorlati munkáját a tereptanár írásban is véleményezi. </w:t>
            </w:r>
          </w:p>
          <w:p w:rsidR="00155773" w:rsidRPr="00231E04" w:rsidRDefault="000F6D98" w:rsidP="003133ED">
            <w:pPr>
              <w:jc w:val="both"/>
            </w:pPr>
            <w:r w:rsidRPr="000C5EB9">
              <w:t>A végső érdemjegyet a terepfeldolgozó oktató alakítja ki, melynek érdemjegyére a tereptanár javaslatot tesz.</w:t>
            </w:r>
          </w:p>
        </w:tc>
      </w:tr>
      <w:tr w:rsidR="000F6D98" w:rsidTr="002745A1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FC62A0">
            <w:pPr>
              <w:rPr>
                <w:b/>
              </w:rPr>
            </w:pPr>
            <w:r w:rsidRPr="00231E04">
              <w:rPr>
                <w:b/>
              </w:rPr>
              <w:t>t</w:t>
            </w:r>
            <w:r w:rsidR="00FC62A0">
              <w:rPr>
                <w:b/>
              </w:rPr>
              <w:t>erephely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E4B"/>
    <w:multiLevelType w:val="hybridMultilevel"/>
    <w:tmpl w:val="F396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31C66"/>
    <w:multiLevelType w:val="hybridMultilevel"/>
    <w:tmpl w:val="D7D6EFB4"/>
    <w:lvl w:ilvl="0" w:tplc="716CAB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B266C"/>
    <w:multiLevelType w:val="hybridMultilevel"/>
    <w:tmpl w:val="7772D8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26A1"/>
    <w:rsid w:val="00084781"/>
    <w:rsid w:val="000F6D98"/>
    <w:rsid w:val="00155773"/>
    <w:rsid w:val="0023080D"/>
    <w:rsid w:val="00231E04"/>
    <w:rsid w:val="002745A1"/>
    <w:rsid w:val="002A4E50"/>
    <w:rsid w:val="002B2599"/>
    <w:rsid w:val="003133ED"/>
    <w:rsid w:val="003367E5"/>
    <w:rsid w:val="00436CB3"/>
    <w:rsid w:val="0044503E"/>
    <w:rsid w:val="004508E5"/>
    <w:rsid w:val="004A0081"/>
    <w:rsid w:val="004C37D9"/>
    <w:rsid w:val="004C3A8B"/>
    <w:rsid w:val="004C597E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B0397A"/>
    <w:rsid w:val="00B77E9B"/>
    <w:rsid w:val="00D23A7D"/>
    <w:rsid w:val="00E36CB8"/>
    <w:rsid w:val="00E46841"/>
    <w:rsid w:val="00E66FE3"/>
    <w:rsid w:val="00E865C3"/>
    <w:rsid w:val="00EA08FE"/>
    <w:rsid w:val="00F15B0E"/>
    <w:rsid w:val="00F53749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Buborkszveg">
    <w:name w:val="Balloon Text"/>
    <w:basedOn w:val="Norml"/>
    <w:link w:val="BuborkszvegChar"/>
    <w:uiPriority w:val="99"/>
    <w:semiHidden/>
    <w:unhideWhenUsed/>
    <w:rsid w:val="002745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5A1"/>
    <w:rPr>
      <w:rFonts w:ascii="Tahoma" w:hAnsi="Tahoma" w:cs="Tahoma"/>
      <w:sz w:val="16"/>
      <w:szCs w:val="16"/>
    </w:rPr>
  </w:style>
  <w:style w:type="character" w:styleId="Hiperhivatkozs">
    <w:name w:val="Hyperlink"/>
    <w:rsid w:val="000F6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6D98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Buborkszveg">
    <w:name w:val="Balloon Text"/>
    <w:basedOn w:val="Norml"/>
    <w:link w:val="BuborkszvegChar"/>
    <w:uiPriority w:val="99"/>
    <w:semiHidden/>
    <w:unhideWhenUsed/>
    <w:rsid w:val="002745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5A1"/>
    <w:rPr>
      <w:rFonts w:ascii="Tahoma" w:hAnsi="Tahoma" w:cs="Tahoma"/>
      <w:sz w:val="16"/>
      <w:szCs w:val="16"/>
    </w:rPr>
  </w:style>
  <w:style w:type="character" w:styleId="Hiperhivatkozs">
    <w:name w:val="Hyperlink"/>
    <w:rsid w:val="000F6D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6D9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B26E1-22DA-43A8-B581-6C3B3B60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2</cp:revision>
  <dcterms:created xsi:type="dcterms:W3CDTF">2021-10-18T13:25:00Z</dcterms:created>
  <dcterms:modified xsi:type="dcterms:W3CDTF">2021-10-18T13:25:00Z</dcterms:modified>
</cp:coreProperties>
</file>