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112CA">
      <w:pPr>
        <w:framePr w:w="1637" w:h="2134" w:hRule="exact" w:hSpace="141" w:wrap="auto" w:vAnchor="text" w:hAnchor="page" w:x="872" w:y="-565"/>
        <w:ind w:right="284"/>
      </w:pPr>
      <w:r>
        <w:br w:type="page"/>
      </w:r>
      <w:r w:rsidR="00DE1C08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EF7C09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CA5CC1" w:rsidTr="004112CA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4112CA" w:rsidRDefault="004B6F4A">
            <w:pPr>
              <w:rPr>
                <w:b/>
              </w:rPr>
            </w:pPr>
            <w:r w:rsidRPr="004112CA">
              <w:rPr>
                <w:b/>
              </w:rPr>
              <w:t>SMAV657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4112CA" w:rsidRDefault="004B6F4A">
            <w:pPr>
              <w:rPr>
                <w:b/>
              </w:rPr>
            </w:pPr>
            <w:r w:rsidRPr="004112CA">
              <w:rPr>
                <w:b/>
              </w:rPr>
              <w:t>Diszkrimináció, szegregáció, integráció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AF71AB" w:rsidRDefault="00AF71AB" w:rsidP="005B518C">
            <w:r>
              <w:t>Tantárgy oktatójának neve</w:t>
            </w:r>
          </w:p>
        </w:tc>
        <w:tc>
          <w:tcPr>
            <w:tcW w:w="2880" w:type="dxa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Dr. Mink Júlia</w:t>
            </w:r>
          </w:p>
        </w:tc>
        <w:tc>
          <w:tcPr>
            <w:tcW w:w="1628" w:type="dxa"/>
          </w:tcPr>
          <w:p w:rsidR="00AF71AB" w:rsidRPr="004112CA" w:rsidRDefault="00AF71AB" w:rsidP="0002012A">
            <w:r w:rsidRPr="004112CA">
              <w:t>Beosztása, tudományos fokozata</w:t>
            </w:r>
          </w:p>
        </w:tc>
        <w:tc>
          <w:tcPr>
            <w:tcW w:w="2254" w:type="dxa"/>
          </w:tcPr>
          <w:p w:rsidR="00AF71AB" w:rsidRDefault="00CA5CC1" w:rsidP="0002012A">
            <w:pPr>
              <w:rPr>
                <w:b/>
              </w:rPr>
            </w:pPr>
            <w:r>
              <w:rPr>
                <w:b/>
              </w:rPr>
              <w:t>egyetemi docens</w:t>
            </w:r>
          </w:p>
          <w:p w:rsidR="00CA5CC1" w:rsidRPr="004112CA" w:rsidRDefault="00CA5CC1" w:rsidP="0002012A">
            <w:pPr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AF71AB" w:rsidRDefault="00AF71AB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nappali tagozaton 2 tanóra/ hét</w:t>
            </w:r>
          </w:p>
          <w:p w:rsidR="00AF71AB" w:rsidRPr="004112CA" w:rsidRDefault="004112CA" w:rsidP="0002012A">
            <w:pPr>
              <w:rPr>
                <w:b/>
              </w:rPr>
            </w:pPr>
            <w:r w:rsidRPr="004112CA">
              <w:rPr>
                <w:b/>
              </w:rPr>
              <w:t>levelező tagozaton 16</w:t>
            </w:r>
            <w:r w:rsidR="00AF71AB" w:rsidRPr="004112CA">
              <w:rPr>
                <w:b/>
              </w:rPr>
              <w:t xml:space="preserve"> tanóra/félév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t>Tanóra típusa</w:t>
            </w:r>
          </w:p>
        </w:tc>
        <w:tc>
          <w:tcPr>
            <w:tcW w:w="6762" w:type="dxa"/>
            <w:gridSpan w:val="3"/>
          </w:tcPr>
          <w:p w:rsidR="00AF71AB" w:rsidRPr="004112CA" w:rsidRDefault="00AF71AB" w:rsidP="0002012A">
            <w:pPr>
              <w:rPr>
                <w:b/>
              </w:rPr>
            </w:pPr>
            <w:r w:rsidRPr="004112CA">
              <w:rPr>
                <w:b/>
              </w:rPr>
              <w:t>előadás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AF71AB" w:rsidRDefault="00AF71AB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71AB" w:rsidRPr="004112CA" w:rsidRDefault="00CB5F89" w:rsidP="00CB5F89">
            <w:pPr>
              <w:rPr>
                <w:b/>
              </w:rPr>
            </w:pPr>
            <w:r>
              <w:rPr>
                <w:b/>
              </w:rPr>
              <w:t>őszi</w:t>
            </w:r>
            <w:r w:rsidR="00AF71AB" w:rsidRPr="004112CA">
              <w:rPr>
                <w:b/>
              </w:rPr>
              <w:t xml:space="preserve"> félév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4112CA" w:rsidRDefault="00AF71AB" w:rsidP="00231E04">
            <w:r w:rsidRPr="004112CA">
              <w:rPr>
                <w:b/>
              </w:rPr>
              <w:t>3</w:t>
            </w:r>
            <w:r w:rsidR="0023080D" w:rsidRPr="004112CA">
              <w:rPr>
                <w:b/>
              </w:rPr>
              <w:t xml:space="preserve"> </w:t>
            </w:r>
            <w:r w:rsidR="00231E04" w:rsidRPr="004112CA">
              <w:rPr>
                <w:b/>
              </w:rPr>
              <w:t>kredit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CA5CC1" w:rsidRDefault="00CA5CC1" w:rsidP="00CA5CC1">
            <w:pPr>
              <w:jc w:val="both"/>
            </w:pPr>
            <w:r w:rsidRPr="00CA5CC1">
              <w:t xml:space="preserve">A tantárgy célja a diszkrimináció, szegregáció </w:t>
            </w:r>
            <w:proofErr w:type="spellStart"/>
            <w:r w:rsidRPr="00CA5CC1">
              <w:t>tés</w:t>
            </w:r>
            <w:proofErr w:type="spellEnd"/>
            <w:r w:rsidRPr="00CA5CC1">
              <w:t xml:space="preserve"> integráció jogi és társadalmi keretének feltérképezése az oktatási diszkrimináció területén valamint a hazai oktatási integrációs modellek jogi és elméleti hátterének, módszereinek és tapasztalatainak bemutatása. A kutatási szeminárium során a diákoknak lehetőségük nyílik megismerkedni a diszkriminációs gyakorlatok ellen küzdő állami szervek is civil szervezetek munkájával, valamint olyan oktatási integrációs modellek gyakorlatával, </w:t>
            </w:r>
            <w:proofErr w:type="spellStart"/>
            <w:r w:rsidRPr="00CA5CC1">
              <w:t>ereményeivel</w:t>
            </w:r>
            <w:proofErr w:type="spellEnd"/>
            <w:r w:rsidRPr="00CA5CC1">
              <w:t>, melyek deklarált célja a szociális vagy más hátránnyal induló tanulói csoportok felzárkóztatása, a korai iskolaelhagyás megelőzése. A tantárgy emellett áttekinti a hazai szegregációs modellek jogi-intézményi hátterét, gyakorlatát és hátrányait is.  Az óra keretében a hallgatók látogatást tesznek egy általuk választott állami intézménynél, civil szervezetnél.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4112CA" w:rsidRDefault="004C3A8B">
            <w:pPr>
              <w:rPr>
                <w:b/>
              </w:rPr>
            </w:pP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CA5CC1" w:rsidRPr="00E865C3" w:rsidRDefault="00CA5CC1">
            <w:pPr>
              <w:rPr>
                <w:sz w:val="20"/>
                <w:szCs w:val="20"/>
              </w:rPr>
            </w:pPr>
            <w:r w:rsidRPr="001F6121">
              <w:t>Fejlesztendő kompetenciaterületek</w:t>
            </w:r>
          </w:p>
        </w:tc>
        <w:tc>
          <w:tcPr>
            <w:tcW w:w="6762" w:type="dxa"/>
            <w:gridSpan w:val="3"/>
          </w:tcPr>
          <w:p w:rsidR="00CA5CC1" w:rsidRDefault="00CA5CC1" w:rsidP="009F7E72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A) </w:t>
            </w:r>
            <w:r w:rsidRPr="00403737">
              <w:rPr>
                <w:b/>
                <w:sz w:val="22"/>
                <w:szCs w:val="22"/>
              </w:rPr>
              <w:t>Tudása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</w:pPr>
            <w:r w:rsidRPr="00BD72FF">
              <w:t>Ismeri és érti a szakmai területhez kapcsolódó pszichológiai, jogi, pedagógiai, egészségügyi, szociológiai tudományok szociális munkához tartozó fogalomkészletét.</w:t>
            </w:r>
            <w:r>
              <w:t xml:space="preserve"> </w:t>
            </w:r>
            <w:r w:rsidRPr="00047BE7">
              <w:t>Ismeri és értelmezi a szociális munkához kapcsolódó jogi területek szabályozását, különös tekintettel a</w:t>
            </w:r>
            <w:r>
              <w:t xml:space="preserve"> hátrányos megkülönböztetés tilalmára, az</w:t>
            </w:r>
            <w:r w:rsidRPr="00047BE7">
              <w:t xml:space="preserve"> emberi jogokra és a gyermek</w:t>
            </w:r>
            <w:r>
              <w:t xml:space="preserve">ek </w:t>
            </w:r>
            <w:r w:rsidRPr="00047BE7">
              <w:t>jogainak védelmére.</w:t>
            </w:r>
            <w:r>
              <w:t xml:space="preserve"> </w:t>
            </w:r>
            <w:r w:rsidRPr="00047BE7">
              <w:t xml:space="preserve">Ezen belül, </w:t>
            </w:r>
            <w:proofErr w:type="gramStart"/>
            <w:r w:rsidRPr="00047BE7">
              <w:t>ezen</w:t>
            </w:r>
            <w:proofErr w:type="gramEnd"/>
            <w:r w:rsidRPr="00047BE7">
              <w:t xml:space="preserve"> tantárgyhoz kapcsolódóan: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 w:rsidRPr="00BD72FF">
              <w:t>Ismeri é</w:t>
            </w:r>
            <w:bookmarkStart w:id="0" w:name="_GoBack"/>
            <w:bookmarkEnd w:id="0"/>
            <w:r w:rsidRPr="00BD72FF">
              <w:t xml:space="preserve">s érti </w:t>
            </w:r>
            <w:r>
              <w:t>hátrányos megkülönböztetés tilalmának</w:t>
            </w:r>
            <w:r w:rsidRPr="00BD72FF">
              <w:t xml:space="preserve"> főbb sajátosságait és fogalomkészletét. 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 w:rsidRPr="00BD72FF">
              <w:t>Ismeri és értelmezi a kisebbségi és többségi társadalom kapcsolatának dinamikáját és ehhez kapcsolódóan a kisebbségi egyéni és közösségi jogokat</w:t>
            </w:r>
            <w:r>
              <w:t>,</w:t>
            </w:r>
            <w:r w:rsidRPr="00BD72FF">
              <w:t xml:space="preserve"> az egyenlő bánásmód követelményéhez kapcsolódó alapvető fogalmakat, jogintézményeket, az igényérvényesítés, jogvédelem lehetőségeit.</w:t>
            </w:r>
            <w:r>
              <w:t xml:space="preserve"> 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>
              <w:t xml:space="preserve">Ismeri és érti a szociális munka/szociális munkás szerepét az emberi jogok vagy a diszkrimináció tilalmának érvényesítésében, és a családon belüli erőszak, </w:t>
            </w:r>
            <w:proofErr w:type="spellStart"/>
            <w:r>
              <w:lastRenderedPageBreak/>
              <w:t>gyermekbántalamzás</w:t>
            </w:r>
            <w:proofErr w:type="spellEnd"/>
            <w:r>
              <w:t xml:space="preserve"> elleni küzdelemben.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>
              <w:t>Ismeri az emberi jogvédelem területén, valamint a diszkrimináció által érintett fő társadalmi csoportok, kisebbségek jogainak védelmében tevékenykedő hazai civil szervezetek munkáját.</w:t>
            </w:r>
          </w:p>
          <w:p w:rsidR="00CA5CC1" w:rsidRPr="00403737" w:rsidRDefault="00CA5CC1" w:rsidP="009F7E72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</w:p>
          <w:p w:rsidR="00CA5CC1" w:rsidRPr="00403737" w:rsidRDefault="00CA5CC1" w:rsidP="009F7E72">
            <w:pPr>
              <w:tabs>
                <w:tab w:val="left" w:pos="317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B) K</w:t>
            </w:r>
            <w:r w:rsidRPr="00403737">
              <w:rPr>
                <w:b/>
                <w:sz w:val="22"/>
                <w:szCs w:val="22"/>
              </w:rPr>
              <w:t>épességei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</w:pPr>
            <w:r>
              <w:t xml:space="preserve">a) </w:t>
            </w:r>
            <w:r w:rsidRPr="00BD72FF">
              <w:t>Elkötelezett a társadalmi egyenlőség, a demokratikus értékek, a jogállamiság és az európai értékközösség mellett.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</w:pPr>
            <w:r>
              <w:t xml:space="preserve">b) </w:t>
            </w:r>
            <w:r w:rsidRPr="00BD72FF">
              <w:t>Képes kritikus szemlélettel és reflektív módon megfogalmazni a társadalmi és szociális problémákat, a veszélyeztető tényezőket és a problémakezelés folyamatát.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</w:pPr>
            <w:r>
              <w:t xml:space="preserve">c) </w:t>
            </w:r>
            <w:r w:rsidRPr="00BD72FF">
              <w:t>Képes megkülönböztetni a vélekedéseket, sztereotípiákat, előítéleteket a bizonyítékokkal alátámasztott társadalmi tényektől, leírásoktól, elemzésektől.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</w:pPr>
            <w:r>
              <w:t xml:space="preserve">d) </w:t>
            </w:r>
            <w:r w:rsidRPr="00BD72FF"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 w:rsidRPr="00BD72FF">
              <w:t>Érzékeny és nyitott a társadalmi és szociális problémákra, elkötelezett és felelősséget vállal a szakma értékei és a társadalmi szolidaritás ügye mellett.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 w:rsidRPr="00047BE7">
              <w:t>Felelősséget vállal a szolgáltatásokat igénybe vevők életébe történő beavatkozásért.</w:t>
            </w:r>
          </w:p>
          <w:p w:rsidR="00CA5CC1" w:rsidRDefault="00CA5CC1" w:rsidP="00CA5CC1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</w:pPr>
            <w:r>
              <w:t>Vitakészség, szóbeli előadás</w:t>
            </w:r>
            <w:r w:rsidRPr="00047BE7">
              <w:t xml:space="preserve"> fejlesztése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  <w:ind w:left="360"/>
            </w:pPr>
          </w:p>
          <w:p w:rsidR="00CA5CC1" w:rsidRPr="00047BE7" w:rsidRDefault="00CA5CC1" w:rsidP="009F7E72">
            <w:pPr>
              <w:tabs>
                <w:tab w:val="left" w:pos="317"/>
              </w:tabs>
              <w:suppressAutoHyphens/>
            </w:pPr>
            <w:r w:rsidRPr="00047BE7">
              <w:t>A fentiekhez kapcsolódóan a hallgató a tantárgy teljesítését követően:</w:t>
            </w:r>
          </w:p>
          <w:p w:rsidR="00CA5CC1" w:rsidRPr="00047BE7" w:rsidRDefault="00CA5CC1" w:rsidP="009F7E72">
            <w:pPr>
              <w:tabs>
                <w:tab w:val="left" w:pos="317"/>
              </w:tabs>
              <w:suppressAutoHyphens/>
            </w:pPr>
            <w:r w:rsidRPr="00047BE7">
              <w:t>- érti a</w:t>
            </w:r>
            <w:r>
              <w:t xml:space="preserve"> </w:t>
            </w:r>
            <w:proofErr w:type="spellStart"/>
            <w:r>
              <w:t>hátányos</w:t>
            </w:r>
            <w:proofErr w:type="spellEnd"/>
            <w:r>
              <w:t xml:space="preserve"> megkülönböztetés tilalmához kapcsolódó</w:t>
            </w:r>
            <w:r w:rsidRPr="00047BE7">
              <w:t xml:space="preserve"> jogérvényesítés alapjait, eligazodik az egyes </w:t>
            </w:r>
            <w:r>
              <w:t xml:space="preserve">kapcsolódó emberi jogok alkalmazási köre terén, </w:t>
            </w:r>
            <w:r w:rsidRPr="00047BE7">
              <w:t>eligazodik a</w:t>
            </w:r>
            <w:r>
              <w:t xml:space="preserve"> diszkrimináció tilalmához, valamint az emberi jogvédelemhez kapcsolódó hazai intézményrendszerben, </w:t>
            </w:r>
            <w:r w:rsidRPr="00047BE7">
              <w:t>tisztában van az önkormányzat</w:t>
            </w:r>
            <w:r>
              <w:t>ok emberi jogvédelem terén, diszkrimináció tilalmának érvényre juttatásában játszott szerepével</w:t>
            </w:r>
          </w:p>
          <w:p w:rsidR="00CA5CC1" w:rsidRDefault="00CA5CC1" w:rsidP="009F7E72">
            <w:pPr>
              <w:tabs>
                <w:tab w:val="left" w:pos="317"/>
              </w:tabs>
              <w:suppressAutoHyphens/>
            </w:pPr>
            <w:r w:rsidRPr="00047BE7">
              <w:t xml:space="preserve">- konfliktusok felismerése és kezelése: képes felismerni a jogi </w:t>
            </w:r>
            <w:r>
              <w:t xml:space="preserve">(diszkrimináció tilalmához kapcsolódó/emberi jogvédelmi) </w:t>
            </w:r>
            <w:r w:rsidRPr="00047BE7">
              <w:t>jellegű problémákat és a kliensei érdekében megtenni a szükséges lépéseket</w:t>
            </w:r>
            <w:proofErr w:type="gramStart"/>
            <w:r w:rsidRPr="00047BE7">
              <w:t>,  és</w:t>
            </w:r>
            <w:proofErr w:type="gramEnd"/>
            <w:r w:rsidRPr="00047BE7">
              <w:t>/vagy számukra segítséget nyújtani az ügyeik intézésében (pl. információt szerez be, tájékoztatást nyújt a hatáskörrel rendelkező állami szervekről vagy az adott területen támogatást, segítséget biztosítani tudó civil szervezetekről, kapcsolatba lép ezekkel az ügyfél érdekében)</w:t>
            </w:r>
          </w:p>
          <w:p w:rsidR="00CA5CC1" w:rsidRPr="00837444" w:rsidRDefault="00CA5CC1" w:rsidP="009F7E72">
            <w:pPr>
              <w:suppressAutoHyphens/>
            </w:pPr>
            <w:r w:rsidRPr="00837444">
              <w:t>- képes felismerni a</w:t>
            </w:r>
            <w:r>
              <w:t xml:space="preserve">z akár </w:t>
            </w:r>
            <w:r w:rsidRPr="00837444">
              <w:t>jogi beavatkozást is igénylő krízishelyzeteket és ismeri a rendelkezésre álló, akár az állami szervek, akár a civil szervezetek által biztosított jogérvényesítési lehetőségeket</w:t>
            </w:r>
          </w:p>
          <w:p w:rsidR="00CA5CC1" w:rsidRPr="00403737" w:rsidRDefault="00CA5CC1" w:rsidP="009F7E72">
            <w:pPr>
              <w:suppressAutoHyphens/>
              <w:ind w:left="176"/>
              <w:rPr>
                <w:sz w:val="22"/>
                <w:szCs w:val="22"/>
              </w:rPr>
            </w:pPr>
            <w:r w:rsidRPr="00047BE7">
              <w:t>- kép</w:t>
            </w:r>
            <w:r>
              <w:t>es munkáját, álláspontját szóban előadni, azt megvédeni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CA5CC1" w:rsidRDefault="00CA5CC1">
            <w:r>
              <w:lastRenderedPageBreak/>
              <w:t>Tantárgyi leírás</w:t>
            </w:r>
          </w:p>
        </w:tc>
        <w:tc>
          <w:tcPr>
            <w:tcW w:w="6762" w:type="dxa"/>
            <w:gridSpan w:val="3"/>
          </w:tcPr>
          <w:p w:rsidR="00CA5CC1" w:rsidRPr="00CA5CC1" w:rsidRDefault="00CA5CC1" w:rsidP="00CA5CC1">
            <w:pPr>
              <w:rPr>
                <w:b/>
              </w:rPr>
            </w:pPr>
            <w:r w:rsidRPr="00CA5CC1">
              <w:rPr>
                <w:b/>
              </w:rPr>
              <w:t xml:space="preserve">Tematika: </w:t>
            </w:r>
            <w:r w:rsidRPr="00CA5CC1">
              <w:rPr>
                <w:bCs/>
              </w:rPr>
              <w:t>(tájékoztató jellegű, a tematika végső kialakítása a csoport érdeklődése mentén a csoport feladata)</w:t>
            </w:r>
          </w:p>
          <w:p w:rsidR="00CA5CC1" w:rsidRPr="00CA5CC1" w:rsidRDefault="00CA5CC1" w:rsidP="00CA5CC1">
            <w:pPr>
              <w:pStyle w:val="Listaszerbekezds"/>
              <w:numPr>
                <w:ilvl w:val="0"/>
                <w:numId w:val="4"/>
              </w:numPr>
              <w:adjustRightInd w:val="0"/>
            </w:pPr>
            <w:r w:rsidRPr="00CA5CC1">
              <w:t xml:space="preserve">A diszkrimináció, szegregáció, integráció fogalma, </w:t>
            </w:r>
            <w:r w:rsidRPr="00CA5CC1">
              <w:lastRenderedPageBreak/>
              <w:t>fajtái, társadalmi háttere</w:t>
            </w:r>
          </w:p>
          <w:p w:rsidR="00CA5CC1" w:rsidRPr="00CA5CC1" w:rsidRDefault="00CA5CC1" w:rsidP="00CA5CC1">
            <w:pPr>
              <w:pStyle w:val="Listaszerbekezds"/>
              <w:numPr>
                <w:ilvl w:val="0"/>
                <w:numId w:val="4"/>
              </w:numPr>
              <w:adjustRightInd w:val="0"/>
            </w:pPr>
            <w:r w:rsidRPr="00CA5CC1">
              <w:t>A diszkrimináció elleni küzdelem jogi eszközei</w:t>
            </w:r>
          </w:p>
          <w:p w:rsidR="00CA5CC1" w:rsidRPr="00CA5CC1" w:rsidRDefault="00CA5CC1" w:rsidP="00CA5CC1">
            <w:pPr>
              <w:pStyle w:val="Listaszerbekezds"/>
              <w:numPr>
                <w:ilvl w:val="0"/>
                <w:numId w:val="4"/>
              </w:numPr>
              <w:adjustRightInd w:val="0"/>
            </w:pPr>
            <w:r w:rsidRPr="00CA5CC1">
              <w:t>Állami intézmények és civil szervezetek szerepe a diszkrimináció elleni küzdelemben</w:t>
            </w:r>
          </w:p>
          <w:p w:rsidR="00CA5CC1" w:rsidRPr="00CA5CC1" w:rsidRDefault="00CA5CC1" w:rsidP="00CA5CC1">
            <w:pPr>
              <w:pStyle w:val="Listaszerbekezds"/>
              <w:numPr>
                <w:ilvl w:val="0"/>
                <w:numId w:val="4"/>
              </w:numPr>
              <w:adjustRightInd w:val="0"/>
            </w:pPr>
            <w:r w:rsidRPr="00CA5CC1">
              <w:t>Nemek közötti egyenlőség</w:t>
            </w:r>
          </w:p>
          <w:p w:rsidR="00CA5CC1" w:rsidRPr="00CA5CC1" w:rsidRDefault="00CA5CC1" w:rsidP="00CA5CC1">
            <w:pPr>
              <w:pStyle w:val="Listaszerbekezds"/>
              <w:numPr>
                <w:ilvl w:val="0"/>
                <w:numId w:val="4"/>
              </w:numPr>
              <w:adjustRightInd w:val="0"/>
            </w:pPr>
            <w:r w:rsidRPr="00CA5CC1">
              <w:t>Az oktatási diszkrimináció (Hazai szegregációs modellek jogi és intézményei háttere az oktatás területén/Hazai szegregációs modellek a gyakorlatban)</w:t>
            </w:r>
          </w:p>
          <w:p w:rsidR="00CA5CC1" w:rsidRPr="00CA5CC1" w:rsidRDefault="00CA5CC1" w:rsidP="00CA5CC1">
            <w:pPr>
              <w:pStyle w:val="Listaszerbekezds"/>
              <w:numPr>
                <w:ilvl w:val="0"/>
                <w:numId w:val="4"/>
              </w:numPr>
            </w:pPr>
            <w:r w:rsidRPr="00CA5CC1">
              <w:t>Munkahelyi diszkrimináció</w:t>
            </w:r>
          </w:p>
        </w:tc>
      </w:tr>
      <w:tr w:rsidR="00CA5CC1" w:rsidTr="00F24788">
        <w:trPr>
          <w:jc w:val="center"/>
        </w:trPr>
        <w:tc>
          <w:tcPr>
            <w:tcW w:w="2448" w:type="dxa"/>
          </w:tcPr>
          <w:p w:rsidR="00CA5CC1" w:rsidRDefault="00CA5CC1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CA5CC1" w:rsidRPr="00CA5CC1" w:rsidRDefault="00CA5CC1" w:rsidP="00CA5CC1">
            <w:pPr>
              <w:rPr>
                <w:b/>
                <w:bCs/>
              </w:rPr>
            </w:pPr>
            <w:r w:rsidRPr="00CA5CC1">
              <w:rPr>
                <w:b/>
                <w:bCs/>
              </w:rPr>
              <w:t>Kötelező irodalom:</w:t>
            </w: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proofErr w:type="spellStart"/>
            <w:r w:rsidRPr="00CA5CC1">
              <w:rPr>
                <w:lang w:val="hu-HU"/>
              </w:rPr>
              <w:t>Bihary</w:t>
            </w:r>
            <w:proofErr w:type="spellEnd"/>
            <w:r w:rsidRPr="00CA5CC1">
              <w:rPr>
                <w:lang w:val="hu-HU"/>
              </w:rPr>
              <w:t xml:space="preserve"> László – Farkas Lilla – Kádár András Kristóf – Kárpáti József: Az egyenlő bánásmódról és az esélyegyenlőség előmozdításáról szóló 2003. évi CXXV. törvény magyarázata, Budapest, 2006, Másság Alapítvány, elérhető: </w:t>
            </w:r>
            <w:hyperlink r:id="rId7" w:history="1">
              <w:r w:rsidRPr="00CA5CC1">
                <w:rPr>
                  <w:rStyle w:val="Hiperhivatkozs"/>
                  <w:lang w:val="hu-HU"/>
                </w:rPr>
                <w:t>https://helsinki.hu/wp-content/uploads/Ebktv_kommentar.pdf</w:t>
              </w:r>
            </w:hyperlink>
            <w:r w:rsidRPr="00CA5CC1">
              <w:rPr>
                <w:lang w:val="hu-HU"/>
              </w:rPr>
              <w:t xml:space="preserve"> vonatkozó részei </w:t>
            </w: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r w:rsidRPr="00CA5CC1">
              <w:rPr>
                <w:lang w:val="hu-HU"/>
              </w:rPr>
              <w:t>Az egyenlő bánásmód nemzetközi, európai és magyar összefüggései / Jakab Nóra, Miskolc, Bíbor kiadó, 2016, ISBN 978-615-5536-28-1, vonatkozó fejezetei</w:t>
            </w:r>
          </w:p>
          <w:p w:rsidR="00CA5CC1" w:rsidRPr="00CA5CC1" w:rsidRDefault="00CA5CC1" w:rsidP="00CA5CC1"/>
          <w:p w:rsidR="00CA5CC1" w:rsidRPr="00CA5CC1" w:rsidRDefault="00CA5CC1" w:rsidP="00CA5CC1">
            <w:proofErr w:type="spellStart"/>
            <w:r w:rsidRPr="00CA5CC1">
              <w:t>Majtényi</w:t>
            </w:r>
            <w:proofErr w:type="spellEnd"/>
            <w:r w:rsidRPr="00CA5CC1">
              <w:t xml:space="preserve"> Balázs (szerk.), Lejtős pálya - </w:t>
            </w:r>
            <w:proofErr w:type="spellStart"/>
            <w:r w:rsidRPr="00CA5CC1">
              <w:t>Antidiszkrimináció</w:t>
            </w:r>
            <w:proofErr w:type="spellEnd"/>
            <w:r w:rsidRPr="00CA5CC1">
              <w:t xml:space="preserve"> és esélyegyenlőség, 2009, L’</w:t>
            </w:r>
            <w:proofErr w:type="spellStart"/>
            <w:r w:rsidRPr="00CA5CC1">
              <w:t>Harmattan</w:t>
            </w:r>
            <w:proofErr w:type="spellEnd"/>
            <w:r w:rsidRPr="00CA5CC1">
              <w:t xml:space="preserve">, </w:t>
            </w:r>
            <w:r w:rsidRPr="00CA5CC1">
              <w:rPr>
                <w:rStyle w:val="Kiemels2"/>
              </w:rPr>
              <w:t xml:space="preserve">ISBN: </w:t>
            </w:r>
            <w:r w:rsidRPr="00CA5CC1">
              <w:rPr>
                <w:b/>
                <w:bCs/>
              </w:rPr>
              <w:t>9</w:t>
            </w:r>
            <w:r w:rsidRPr="00CA5CC1">
              <w:t>789632361321 vonatkozó fejezetei</w:t>
            </w:r>
          </w:p>
          <w:p w:rsidR="00CA5CC1" w:rsidRPr="00CA5CC1" w:rsidRDefault="00CA5CC1" w:rsidP="00CA5CC1"/>
          <w:p w:rsidR="00CA5CC1" w:rsidRPr="00CA5CC1" w:rsidRDefault="00CA5CC1" w:rsidP="00CA5CC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A5CC1">
              <w:rPr>
                <w:rFonts w:ascii="Times New Roman" w:hAnsi="Times New Roman" w:cs="Times New Roman"/>
              </w:rPr>
              <w:t>Kertesi Gábor –</w:t>
            </w:r>
            <w:proofErr w:type="spellStart"/>
            <w:r w:rsidRPr="00CA5CC1">
              <w:rPr>
                <w:rFonts w:ascii="Times New Roman" w:hAnsi="Times New Roman" w:cs="Times New Roman"/>
              </w:rPr>
              <w:t>Kézdi</w:t>
            </w:r>
            <w:proofErr w:type="spellEnd"/>
            <w:r w:rsidRPr="00CA5CC1">
              <w:rPr>
                <w:rFonts w:ascii="Times New Roman" w:hAnsi="Times New Roman" w:cs="Times New Roman"/>
              </w:rPr>
              <w:t xml:space="preserve"> Gábor: </w:t>
            </w:r>
            <w:r w:rsidRPr="00CA5CC1">
              <w:rPr>
                <w:rFonts w:ascii="Times New Roman" w:hAnsi="Times New Roman" w:cs="Times New Roman"/>
                <w:i/>
                <w:iCs/>
              </w:rPr>
              <w:t xml:space="preserve">Általános iskolai szegregáció Magyarországon </w:t>
            </w:r>
          </w:p>
          <w:p w:rsidR="00CA5CC1" w:rsidRPr="00CA5CC1" w:rsidRDefault="00CA5CC1" w:rsidP="00CA5CC1">
            <w:r w:rsidRPr="00CA5CC1">
              <w:rPr>
                <w:i/>
                <w:iCs/>
              </w:rPr>
              <w:t>az ezredforduló után</w:t>
            </w:r>
            <w:r w:rsidRPr="00CA5CC1">
              <w:t xml:space="preserve">, Közgazdasági Szemle, LVI. évf., 2009. november (959–1000. o.) elérhető: </w:t>
            </w:r>
            <w:hyperlink r:id="rId8" w:history="1">
              <w:r w:rsidRPr="00CA5CC1">
                <w:rPr>
                  <w:rStyle w:val="Hiperhivatkozs"/>
                </w:rPr>
                <w:t>http://epa.oszk.hu/00000/00017/00164/pdf/1_kertesi-kezdi.pdf</w:t>
              </w:r>
            </w:hyperlink>
          </w:p>
          <w:p w:rsidR="00CA5CC1" w:rsidRDefault="00CA5CC1" w:rsidP="00CA5CC1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r w:rsidRPr="00CA5CC1">
              <w:rPr>
                <w:lang w:val="hu-HU"/>
              </w:rPr>
              <w:t> </w:t>
            </w: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lang w:val="hu-HU"/>
              </w:rPr>
            </w:pPr>
            <w:proofErr w:type="spellStart"/>
            <w:r w:rsidRPr="00CA5CC1">
              <w:rPr>
                <w:b/>
                <w:bCs/>
              </w:rPr>
              <w:t>Ajánlott</w:t>
            </w:r>
            <w:proofErr w:type="spellEnd"/>
            <w:r w:rsidRPr="00CA5CC1">
              <w:rPr>
                <w:b/>
                <w:bCs/>
              </w:rPr>
              <w:t xml:space="preserve"> </w:t>
            </w:r>
            <w:proofErr w:type="spellStart"/>
            <w:r w:rsidRPr="00CA5CC1">
              <w:rPr>
                <w:b/>
                <w:bCs/>
              </w:rPr>
              <w:t>irodalom</w:t>
            </w:r>
            <w:proofErr w:type="spellEnd"/>
            <w:r>
              <w:rPr>
                <w:b/>
                <w:bCs/>
              </w:rPr>
              <w:t>:</w:t>
            </w:r>
          </w:p>
          <w:p w:rsidR="00CA5CC1" w:rsidRPr="00CA5CC1" w:rsidRDefault="00CA5CC1" w:rsidP="00CA5CC1">
            <w:pPr>
              <w:pStyle w:val="Default"/>
              <w:rPr>
                <w:rFonts w:ascii="Times New Roman" w:hAnsi="Times New Roman" w:cs="Times New Roman"/>
              </w:rPr>
            </w:pPr>
            <w:r w:rsidRPr="00CA5CC1">
              <w:rPr>
                <w:rFonts w:ascii="Times New Roman" w:hAnsi="Times New Roman" w:cs="Times New Roman"/>
              </w:rPr>
              <w:t xml:space="preserve">Szemesi Sándor: A roma gyermekek </w:t>
            </w:r>
            <w:proofErr w:type="spellStart"/>
            <w:r w:rsidRPr="00CA5CC1">
              <w:rPr>
                <w:rFonts w:ascii="Times New Roman" w:hAnsi="Times New Roman" w:cs="Times New Roman"/>
              </w:rPr>
              <w:t>szegregált</w:t>
            </w:r>
            <w:proofErr w:type="spellEnd"/>
            <w:r w:rsidRPr="00CA5CC1">
              <w:rPr>
                <w:rFonts w:ascii="Times New Roman" w:hAnsi="Times New Roman" w:cs="Times New Roman"/>
              </w:rPr>
              <w:t xml:space="preserve"> oktatásának jogi megítélése a strasbourgi és a magyar bírói gyakorlatban 81-88, Fundamentum, 2009, II. szám </w:t>
            </w:r>
          </w:p>
          <w:p w:rsidR="00CA5CC1" w:rsidRPr="00CA5CC1" w:rsidRDefault="00CA5CC1" w:rsidP="00CA5CC1">
            <w:pPr>
              <w:pStyle w:val="Default"/>
              <w:rPr>
                <w:rFonts w:ascii="Times New Roman" w:hAnsi="Times New Roman" w:cs="Times New Roman"/>
              </w:rPr>
            </w:pPr>
            <w:r w:rsidRPr="00CA5CC1">
              <w:rPr>
                <w:rFonts w:ascii="Times New Roman" w:hAnsi="Times New Roman" w:cs="Times New Roman"/>
              </w:rPr>
              <w:t xml:space="preserve">Szemesi Sándor: A diszkrimináció tilalma az Emberi Jogok Európai Bírósága gyakorlatában, 2009, </w:t>
            </w:r>
            <w:proofErr w:type="spellStart"/>
            <w:r w:rsidRPr="00CA5CC1">
              <w:rPr>
                <w:rFonts w:ascii="Times New Roman" w:hAnsi="Times New Roman" w:cs="Times New Roman"/>
              </w:rPr>
              <w:t>Wolters</w:t>
            </w:r>
            <w:proofErr w:type="spellEnd"/>
            <w:r w:rsidRPr="00CA5C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5CC1">
              <w:rPr>
                <w:rFonts w:ascii="Times New Roman" w:hAnsi="Times New Roman" w:cs="Times New Roman"/>
              </w:rPr>
              <w:t>Kluwer</w:t>
            </w:r>
            <w:proofErr w:type="spellEnd"/>
            <w:r w:rsidRPr="00CA5CC1">
              <w:rPr>
                <w:rFonts w:ascii="Times New Roman" w:hAnsi="Times New Roman" w:cs="Times New Roman"/>
              </w:rPr>
              <w:t xml:space="preserve"> Hungary Kft</w:t>
            </w:r>
          </w:p>
          <w:p w:rsidR="00CA5CC1" w:rsidRPr="00CA5CC1" w:rsidRDefault="00CA5CC1" w:rsidP="00CA5CC1">
            <w:pPr>
              <w:pStyle w:val="Default"/>
              <w:rPr>
                <w:rFonts w:ascii="Times New Roman" w:hAnsi="Times New Roman" w:cs="Times New Roman"/>
              </w:rPr>
            </w:pPr>
            <w:r w:rsidRPr="00CA5CC1">
              <w:rPr>
                <w:rFonts w:ascii="Times New Roman" w:hAnsi="Times New Roman" w:cs="Times New Roman"/>
              </w:rPr>
              <w:t xml:space="preserve">Szalai Júlia - </w:t>
            </w:r>
            <w:proofErr w:type="spellStart"/>
            <w:r w:rsidRPr="00CA5CC1">
              <w:rPr>
                <w:rFonts w:ascii="Times New Roman" w:hAnsi="Times New Roman" w:cs="Times New Roman"/>
              </w:rPr>
              <w:t>Simonovits</w:t>
            </w:r>
            <w:proofErr w:type="spellEnd"/>
            <w:r w:rsidRPr="00CA5CC1">
              <w:rPr>
                <w:rFonts w:ascii="Times New Roman" w:hAnsi="Times New Roman" w:cs="Times New Roman"/>
              </w:rPr>
              <w:t xml:space="preserve"> Bori - Kovács Éva, </w:t>
            </w:r>
            <w:proofErr w:type="spellStart"/>
            <w:r w:rsidRPr="00CA5CC1">
              <w:rPr>
                <w:rFonts w:ascii="Times New Roman" w:hAnsi="Times New Roman" w:cs="Times New Roman"/>
              </w:rPr>
              <w:t>Dupcsik</w:t>
            </w:r>
            <w:proofErr w:type="spellEnd"/>
            <w:r w:rsidRPr="00CA5CC1">
              <w:rPr>
                <w:rFonts w:ascii="Times New Roman" w:hAnsi="Times New Roman" w:cs="Times New Roman"/>
              </w:rPr>
              <w:t xml:space="preserve"> Csaba - Farkas Lilla - Hegedűs Dániel – Csepeli György: A romák integrációja, Fundamentum, 2009, II. szám. </w:t>
            </w: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CA5CC1">
              <w:t>Beszélő</w:t>
            </w:r>
            <w:proofErr w:type="spellEnd"/>
            <w:r w:rsidRPr="00CA5CC1">
              <w:t xml:space="preserve">: http://beszelo.c3.hu/rovatok/roma-dosszie </w:t>
            </w:r>
            <w:proofErr w:type="spellStart"/>
            <w:r w:rsidRPr="00CA5CC1">
              <w:t>vonatkozó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írásai</w:t>
            </w:r>
            <w:proofErr w:type="spellEnd"/>
            <w:r w:rsidRPr="00CA5CC1">
              <w:t xml:space="preserve"> </w:t>
            </w:r>
          </w:p>
          <w:p w:rsidR="00CA5CC1" w:rsidRPr="00CA5CC1" w:rsidRDefault="00CA5CC1" w:rsidP="00CA5CC1">
            <w:pPr>
              <w:pStyle w:val="NormlWeb"/>
              <w:spacing w:before="0" w:beforeAutospacing="0" w:after="0" w:afterAutospacing="0"/>
              <w:rPr>
                <w:b/>
                <w:bCs/>
              </w:rPr>
            </w:pPr>
            <w:r w:rsidRPr="00CA5CC1">
              <w:t xml:space="preserve"> </w:t>
            </w:r>
            <w:proofErr w:type="spellStart"/>
            <w:r w:rsidRPr="00CA5CC1">
              <w:t>Bárdits</w:t>
            </w:r>
            <w:proofErr w:type="spellEnd"/>
            <w:r w:rsidRPr="00CA5CC1">
              <w:t xml:space="preserve"> Anna, </w:t>
            </w:r>
            <w:proofErr w:type="spellStart"/>
            <w:r w:rsidRPr="00CA5CC1">
              <w:t>Kádár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András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Kristóf</w:t>
            </w:r>
            <w:proofErr w:type="spellEnd"/>
            <w:r w:rsidRPr="00CA5CC1">
              <w:t xml:space="preserve">, </w:t>
            </w:r>
            <w:proofErr w:type="spellStart"/>
            <w:r w:rsidRPr="00CA5CC1">
              <w:t>Novoszádek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Nóra</w:t>
            </w:r>
            <w:proofErr w:type="spellEnd"/>
            <w:r w:rsidRPr="00CA5CC1">
              <w:t xml:space="preserve">, </w:t>
            </w:r>
            <w:proofErr w:type="spellStart"/>
            <w:r w:rsidRPr="00CA5CC1">
              <w:t>Simonovits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Bori</w:t>
            </w:r>
            <w:proofErr w:type="spellEnd"/>
            <w:r w:rsidRPr="00CA5CC1">
              <w:t xml:space="preserve">, </w:t>
            </w:r>
            <w:proofErr w:type="spellStart"/>
            <w:r w:rsidRPr="00CA5CC1">
              <w:t>Szegő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Dóra</w:t>
            </w:r>
            <w:proofErr w:type="spellEnd"/>
            <w:r w:rsidRPr="00CA5CC1">
              <w:t xml:space="preserve">, Vince </w:t>
            </w:r>
            <w:proofErr w:type="spellStart"/>
            <w:r w:rsidRPr="00CA5CC1">
              <w:t>Dániel</w:t>
            </w:r>
            <w:proofErr w:type="spellEnd"/>
            <w:r w:rsidRPr="00CA5CC1">
              <w:t xml:space="preserve"> – Magyar Helsinki </w:t>
            </w:r>
            <w:proofErr w:type="spellStart"/>
            <w:r w:rsidRPr="00CA5CC1">
              <w:t>Bizottság</w:t>
            </w:r>
            <w:proofErr w:type="spellEnd"/>
            <w:r w:rsidRPr="00CA5CC1">
              <w:t xml:space="preserve">, </w:t>
            </w:r>
            <w:proofErr w:type="spellStart"/>
            <w:r w:rsidRPr="00CA5CC1">
              <w:t>Utolsók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az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egyenlők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között</w:t>
            </w:r>
            <w:proofErr w:type="spellEnd"/>
            <w:r w:rsidRPr="00CA5CC1">
              <w:t xml:space="preserve">: </w:t>
            </w:r>
            <w:proofErr w:type="spellStart"/>
            <w:r w:rsidRPr="00CA5CC1">
              <w:t>Sérülékeny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csoportok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törvény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előtti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egyenlősége</w:t>
            </w:r>
            <w:proofErr w:type="spellEnd"/>
            <w:r w:rsidRPr="00CA5CC1">
              <w:t xml:space="preserve"> a </w:t>
            </w:r>
            <w:proofErr w:type="spellStart"/>
            <w:r w:rsidRPr="00CA5CC1">
              <w:t>büntető</w:t>
            </w:r>
            <w:proofErr w:type="spellEnd"/>
            <w:r w:rsidRPr="00CA5CC1">
              <w:t xml:space="preserve"> </w:t>
            </w:r>
            <w:proofErr w:type="spellStart"/>
            <w:r w:rsidRPr="00CA5CC1">
              <w:t>igazságszolgáltatásban</w:t>
            </w:r>
            <w:proofErr w:type="spellEnd"/>
            <w:r w:rsidRPr="00CA5CC1">
              <w:t xml:space="preserve">, Budapest, 2014, ISBN 978-615-5215-23-0, </w:t>
            </w:r>
            <w:proofErr w:type="spellStart"/>
            <w:r w:rsidRPr="00CA5CC1">
              <w:t>elérhető</w:t>
            </w:r>
            <w:proofErr w:type="spellEnd"/>
            <w:r w:rsidRPr="00CA5CC1">
              <w:t xml:space="preserve">: </w:t>
            </w:r>
            <w:hyperlink r:id="rId9" w:history="1">
              <w:r w:rsidRPr="00CA5CC1">
                <w:rPr>
                  <w:rStyle w:val="Hiperhivatkozs"/>
                </w:rPr>
                <w:t>https://helsinki.hu/utolsok-az-egyenlok-kozott-serulekeny-csoportok-torveny-elotti-egyenlosege-a-bunteto-igazsagszolgaltatasban-2014/</w:t>
              </w:r>
            </w:hyperlink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CA5CC1" w:rsidRDefault="00CA5CC1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</w:tcPr>
          <w:p w:rsidR="00CA5CC1" w:rsidRPr="004112CA" w:rsidRDefault="00CA5CC1" w:rsidP="0002012A">
            <w:pPr>
              <w:rPr>
                <w:b/>
              </w:rPr>
            </w:pPr>
            <w:r w:rsidRPr="004112CA">
              <w:rPr>
                <w:b/>
              </w:rPr>
              <w:t>A félév elfogadásának feltétele:</w:t>
            </w:r>
          </w:p>
          <w:p w:rsidR="00CA5CC1" w:rsidRPr="004112CA" w:rsidRDefault="00CA5CC1" w:rsidP="0002012A">
            <w:pPr>
              <w:rPr>
                <w:b/>
              </w:rPr>
            </w:pPr>
            <w:r w:rsidRPr="004112CA">
              <w:t xml:space="preserve">A hallgatók megajánlott érdemjegyét alapvetően az órai munka és emellett a kiselőadás vagy a megadott témák alapján elkészített </w:t>
            </w:r>
            <w:proofErr w:type="spellStart"/>
            <w:r w:rsidRPr="004112CA">
              <w:t>házidolgozat</w:t>
            </w:r>
            <w:proofErr w:type="spellEnd"/>
            <w:r w:rsidRPr="004112CA">
              <w:t xml:space="preserve"> alapozza meg. A félév végén, szükség esetén, szóbeli vizsga tehető. </w:t>
            </w:r>
          </w:p>
        </w:tc>
      </w:tr>
      <w:tr w:rsidR="00CA5CC1" w:rsidTr="004112CA">
        <w:trPr>
          <w:jc w:val="center"/>
        </w:trPr>
        <w:tc>
          <w:tcPr>
            <w:tcW w:w="2448" w:type="dxa"/>
          </w:tcPr>
          <w:p w:rsidR="00CA5CC1" w:rsidRDefault="00CA5CC1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CA5CC1" w:rsidRPr="004112CA" w:rsidRDefault="00CA5CC1" w:rsidP="00AF71AB">
            <w:pPr>
              <w:rPr>
                <w:b/>
              </w:rPr>
            </w:pPr>
            <w:r w:rsidRPr="004112CA">
              <w:rPr>
                <w:b/>
              </w:rPr>
              <w:t>tanterem, projektor, számítógép</w:t>
            </w:r>
          </w:p>
        </w:tc>
      </w:tr>
    </w:tbl>
    <w:p w:rsidR="004C37D9" w:rsidRDefault="004C37D9"/>
    <w:sectPr w:rsidR="004C37D9" w:rsidSect="004112CA"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GIJEI+CGTimes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2C2"/>
    <w:multiLevelType w:val="hybridMultilevel"/>
    <w:tmpl w:val="EEA48C4E"/>
    <w:lvl w:ilvl="0" w:tplc="118A47AC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99A159F"/>
    <w:multiLevelType w:val="hybridMultilevel"/>
    <w:tmpl w:val="6294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5FAD"/>
    <w:multiLevelType w:val="hybridMultilevel"/>
    <w:tmpl w:val="8A7AE6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872283A"/>
    <w:multiLevelType w:val="hybridMultilevel"/>
    <w:tmpl w:val="08F270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2012A"/>
    <w:rsid w:val="00115BA6"/>
    <w:rsid w:val="0023080D"/>
    <w:rsid w:val="00231E04"/>
    <w:rsid w:val="004112CA"/>
    <w:rsid w:val="00436CB3"/>
    <w:rsid w:val="0044503E"/>
    <w:rsid w:val="004A0081"/>
    <w:rsid w:val="004B6F4A"/>
    <w:rsid w:val="004C37D9"/>
    <w:rsid w:val="004C3A8B"/>
    <w:rsid w:val="005B518C"/>
    <w:rsid w:val="006253C1"/>
    <w:rsid w:val="00720CB8"/>
    <w:rsid w:val="007926B6"/>
    <w:rsid w:val="00840562"/>
    <w:rsid w:val="008C647F"/>
    <w:rsid w:val="009076EA"/>
    <w:rsid w:val="009A72A9"/>
    <w:rsid w:val="00A6705B"/>
    <w:rsid w:val="00AF3205"/>
    <w:rsid w:val="00AF71AB"/>
    <w:rsid w:val="00CA5CC1"/>
    <w:rsid w:val="00CB5F89"/>
    <w:rsid w:val="00D23A7D"/>
    <w:rsid w:val="00D37ADF"/>
    <w:rsid w:val="00DE1C08"/>
    <w:rsid w:val="00E36CB8"/>
    <w:rsid w:val="00E66FE3"/>
    <w:rsid w:val="00E865C3"/>
    <w:rsid w:val="00E958FA"/>
    <w:rsid w:val="00EF7C09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F71AB"/>
  </w:style>
  <w:style w:type="character" w:styleId="Hiperhivatkozs">
    <w:name w:val="Hyperlink"/>
    <w:rsid w:val="00AF71AB"/>
    <w:rPr>
      <w:color w:val="0000FF"/>
      <w:u w:val="single"/>
    </w:rPr>
  </w:style>
  <w:style w:type="character" w:styleId="Kiemels">
    <w:name w:val="Emphasis"/>
    <w:qFormat/>
    <w:rsid w:val="00AF71AB"/>
    <w:rPr>
      <w:i/>
      <w:iCs/>
    </w:rPr>
  </w:style>
  <w:style w:type="paragraph" w:customStyle="1" w:styleId="Default">
    <w:name w:val="Default"/>
    <w:rsid w:val="00AF71AB"/>
    <w:pPr>
      <w:autoSpaceDE w:val="0"/>
      <w:autoSpaceDN w:val="0"/>
      <w:adjustRightInd w:val="0"/>
    </w:pPr>
    <w:rPr>
      <w:rFonts w:ascii="BGIJEI+CGTimes,Bold" w:eastAsia="SimSun" w:hAnsi="BGIJEI+CGTimes,Bold" w:cs="BGIJEI+CGTimes,Bold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AF71AB"/>
    <w:rPr>
      <w:rFonts w:cs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C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C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5CC1"/>
    <w:pPr>
      <w:ind w:left="720"/>
      <w:contextualSpacing/>
    </w:pPr>
    <w:rPr>
      <w:rFonts w:eastAsia="MS Mincho"/>
    </w:rPr>
  </w:style>
  <w:style w:type="paragraph" w:styleId="NormlWeb">
    <w:name w:val="Normal (Web)"/>
    <w:basedOn w:val="Norml"/>
    <w:uiPriority w:val="99"/>
    <w:unhideWhenUsed/>
    <w:rsid w:val="00CA5CC1"/>
    <w:pPr>
      <w:spacing w:before="100" w:beforeAutospacing="1" w:after="100" w:afterAutospacing="1"/>
    </w:pPr>
    <w:rPr>
      <w:lang w:val="de-DE" w:eastAsia="de-DE"/>
    </w:rPr>
  </w:style>
  <w:style w:type="character" w:styleId="Kiemels2">
    <w:name w:val="Strong"/>
    <w:uiPriority w:val="22"/>
    <w:qFormat/>
    <w:rsid w:val="00CA5C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rodalomjegyzk">
    <w:name w:val="Bibliography"/>
    <w:basedOn w:val="Norml"/>
    <w:next w:val="Norml"/>
    <w:uiPriority w:val="37"/>
    <w:semiHidden/>
    <w:unhideWhenUsed/>
    <w:rsid w:val="00AF71AB"/>
  </w:style>
  <w:style w:type="character" w:styleId="Hiperhivatkozs">
    <w:name w:val="Hyperlink"/>
    <w:rsid w:val="00AF71AB"/>
    <w:rPr>
      <w:color w:val="0000FF"/>
      <w:u w:val="single"/>
    </w:rPr>
  </w:style>
  <w:style w:type="character" w:styleId="Kiemels">
    <w:name w:val="Emphasis"/>
    <w:qFormat/>
    <w:rsid w:val="00AF71AB"/>
    <w:rPr>
      <w:i/>
      <w:iCs/>
    </w:rPr>
  </w:style>
  <w:style w:type="paragraph" w:customStyle="1" w:styleId="Default">
    <w:name w:val="Default"/>
    <w:rsid w:val="00AF71AB"/>
    <w:pPr>
      <w:autoSpaceDE w:val="0"/>
      <w:autoSpaceDN w:val="0"/>
      <w:adjustRightInd w:val="0"/>
    </w:pPr>
    <w:rPr>
      <w:rFonts w:ascii="BGIJEI+CGTimes,Bold" w:eastAsia="SimSun" w:hAnsi="BGIJEI+CGTimes,Bold" w:cs="BGIJEI+CGTimes,Bold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AF71AB"/>
    <w:rPr>
      <w:rFonts w:cs="Times New Roman"/>
      <w:color w:val="aut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C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C0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A5CC1"/>
    <w:pPr>
      <w:ind w:left="720"/>
      <w:contextualSpacing/>
    </w:pPr>
    <w:rPr>
      <w:rFonts w:eastAsia="MS Mincho"/>
    </w:rPr>
  </w:style>
  <w:style w:type="paragraph" w:styleId="NormlWeb">
    <w:name w:val="Normal (Web)"/>
    <w:basedOn w:val="Norml"/>
    <w:uiPriority w:val="99"/>
    <w:unhideWhenUsed/>
    <w:rsid w:val="00CA5CC1"/>
    <w:pPr>
      <w:spacing w:before="100" w:beforeAutospacing="1" w:after="100" w:afterAutospacing="1"/>
    </w:pPr>
    <w:rPr>
      <w:lang w:val="de-DE" w:eastAsia="de-DE"/>
    </w:rPr>
  </w:style>
  <w:style w:type="character" w:styleId="Kiemels2">
    <w:name w:val="Strong"/>
    <w:uiPriority w:val="22"/>
    <w:qFormat/>
    <w:rsid w:val="00CA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0000/00017/00164/pdf/1_kertesi-kezd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lsinki.hu/wp-content/uploads/Ebktv_komment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lsinki.hu/utolsok-az-egyenlok-kozott-serulekeny-csoportok-torveny-elotti-egyenlosege-a-bunteto-igazsagszolgaltatasban-201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2</cp:revision>
  <dcterms:created xsi:type="dcterms:W3CDTF">2021-09-27T08:13:00Z</dcterms:created>
  <dcterms:modified xsi:type="dcterms:W3CDTF">2021-09-27T08:13:00Z</dcterms:modified>
</cp:coreProperties>
</file>