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3E" w:rsidRDefault="00AB7D1D" w:rsidP="001F6121">
      <w:pPr>
        <w:framePr w:w="1637" w:h="1389" w:hRule="exact" w:hSpace="141" w:wrap="auto" w:vAnchor="text" w:hAnchor="page" w:x="670" w:y="-370"/>
        <w:ind w:right="28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20.25pt;width:50.25pt;height:52.5pt;z-index:-251658752" fillcolor="window">
            <v:imagedata r:id="rId5" o:title=""/>
            <w10:wrap type="tight"/>
          </v:shape>
        </w:pict>
      </w:r>
      <w:r w:rsidR="0044503E">
        <w:br w:type="page"/>
      </w:r>
    </w:p>
    <w:p w:rsidR="00840562" w:rsidRDefault="00840562" w:rsidP="00840562">
      <w:pPr>
        <w:ind w:right="284"/>
      </w:pPr>
    </w:p>
    <w:p w:rsidR="00840562" w:rsidRPr="00F53749" w:rsidRDefault="00840562" w:rsidP="0044503E">
      <w:pPr>
        <w:pBdr>
          <w:bottom w:val="single" w:sz="2" w:space="2" w:color="auto"/>
        </w:pBdr>
        <w:ind w:right="284"/>
        <w:jc w:val="center"/>
        <w:rPr>
          <w:b/>
          <w:bCs/>
          <w:caps/>
          <w:sz w:val="20"/>
          <w:szCs w:val="20"/>
        </w:rPr>
      </w:pPr>
      <w:r w:rsidRPr="00F53749">
        <w:rPr>
          <w:b/>
          <w:bCs/>
          <w:caps/>
          <w:sz w:val="20"/>
          <w:szCs w:val="20"/>
        </w:rPr>
        <w:t xml:space="preserve">Wesley János Lelkészképző Főiskola </w:t>
      </w:r>
    </w:p>
    <w:p w:rsidR="00840562" w:rsidRPr="00F53749" w:rsidRDefault="00840562" w:rsidP="00840562">
      <w:pPr>
        <w:pStyle w:val="Cmsor4"/>
        <w:ind w:left="8496"/>
        <w:jc w:val="center"/>
        <w:rPr>
          <w:caps/>
          <w:sz w:val="20"/>
          <w:szCs w:val="20"/>
        </w:rPr>
      </w:pPr>
      <w:r w:rsidRPr="00F53749">
        <w:rPr>
          <w:caps/>
          <w:sz w:val="20"/>
          <w:szCs w:val="20"/>
        </w:rPr>
        <w:t>Szociális munka szak</w:t>
      </w:r>
    </w:p>
    <w:p w:rsidR="00840562" w:rsidRDefault="00840562" w:rsidP="00840562"/>
    <w:p w:rsidR="00840562" w:rsidRPr="007F39B7" w:rsidRDefault="00840562" w:rsidP="00840562">
      <w:pPr>
        <w:rPr>
          <w:sz w:val="16"/>
          <w:szCs w:val="16"/>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65"/>
        <w:gridCol w:w="2880"/>
        <w:gridCol w:w="1628"/>
        <w:gridCol w:w="2254"/>
      </w:tblGrid>
      <w:tr w:rsidR="00155773" w:rsidTr="00AB7D1D">
        <w:trPr>
          <w:trHeight w:val="262"/>
          <w:jc w:val="center"/>
        </w:trPr>
        <w:tc>
          <w:tcPr>
            <w:tcW w:w="2965" w:type="dxa"/>
            <w:vAlign w:val="center"/>
          </w:tcPr>
          <w:p w:rsidR="00155773" w:rsidRPr="001F6121" w:rsidRDefault="00155773" w:rsidP="00AB7D1D">
            <w:r w:rsidRPr="001F6121">
              <w:t>Tantárgy kódja</w:t>
            </w:r>
          </w:p>
        </w:tc>
        <w:tc>
          <w:tcPr>
            <w:tcW w:w="6762" w:type="dxa"/>
            <w:gridSpan w:val="3"/>
            <w:vAlign w:val="center"/>
          </w:tcPr>
          <w:p w:rsidR="00155773" w:rsidRPr="00231E04" w:rsidRDefault="00D10467" w:rsidP="00AB7D1D">
            <w:pPr>
              <w:rPr>
                <w:b/>
              </w:rPr>
            </w:pPr>
            <w:r>
              <w:rPr>
                <w:b/>
              </w:rPr>
              <w:t>SMAV915</w:t>
            </w:r>
          </w:p>
        </w:tc>
      </w:tr>
      <w:tr w:rsidR="00155773" w:rsidTr="00AB7D1D">
        <w:trPr>
          <w:trHeight w:val="267"/>
          <w:jc w:val="center"/>
        </w:trPr>
        <w:tc>
          <w:tcPr>
            <w:tcW w:w="2965" w:type="dxa"/>
            <w:vAlign w:val="center"/>
          </w:tcPr>
          <w:p w:rsidR="00155773" w:rsidRPr="001F6121" w:rsidRDefault="00155773" w:rsidP="00AB7D1D">
            <w:r w:rsidRPr="001F6121">
              <w:t>Tantárgy elnevezése</w:t>
            </w:r>
          </w:p>
        </w:tc>
        <w:tc>
          <w:tcPr>
            <w:tcW w:w="6762" w:type="dxa"/>
            <w:gridSpan w:val="3"/>
            <w:vAlign w:val="center"/>
          </w:tcPr>
          <w:p w:rsidR="00155773" w:rsidRPr="00231E04" w:rsidRDefault="00D10467" w:rsidP="00AB7D1D">
            <w:pPr>
              <w:rPr>
                <w:b/>
              </w:rPr>
            </w:pPr>
            <w:r w:rsidRPr="00D10467">
              <w:rPr>
                <w:b/>
              </w:rPr>
              <w:t>Rendszerváltó történetek</w:t>
            </w:r>
          </w:p>
        </w:tc>
      </w:tr>
      <w:tr w:rsidR="00155773" w:rsidTr="001F6121">
        <w:trPr>
          <w:jc w:val="center"/>
        </w:trPr>
        <w:tc>
          <w:tcPr>
            <w:tcW w:w="2965" w:type="dxa"/>
            <w:vAlign w:val="center"/>
          </w:tcPr>
          <w:p w:rsidR="00155773" w:rsidRPr="001F6121" w:rsidRDefault="00155773" w:rsidP="00AB7D1D">
            <w:r w:rsidRPr="001F6121">
              <w:t>Tantárgy oktatójának neve</w:t>
            </w:r>
          </w:p>
        </w:tc>
        <w:tc>
          <w:tcPr>
            <w:tcW w:w="2880" w:type="dxa"/>
            <w:vAlign w:val="center"/>
          </w:tcPr>
          <w:p w:rsidR="00155773" w:rsidRPr="00231E04" w:rsidRDefault="00AB7D1D" w:rsidP="00AB7D1D">
            <w:pPr>
              <w:rPr>
                <w:b/>
              </w:rPr>
            </w:pPr>
            <w:r>
              <w:rPr>
                <w:b/>
              </w:rPr>
              <w:t>Dr. Demszky Gábor</w:t>
            </w:r>
          </w:p>
        </w:tc>
        <w:tc>
          <w:tcPr>
            <w:tcW w:w="1628" w:type="dxa"/>
            <w:vAlign w:val="center"/>
          </w:tcPr>
          <w:p w:rsidR="00155773" w:rsidRPr="001F6121" w:rsidRDefault="00155773" w:rsidP="00AB7D1D">
            <w:pPr>
              <w:rPr>
                <w:sz w:val="20"/>
                <w:szCs w:val="20"/>
              </w:rPr>
            </w:pPr>
            <w:r w:rsidRPr="001F6121">
              <w:rPr>
                <w:sz w:val="20"/>
                <w:szCs w:val="20"/>
              </w:rPr>
              <w:t>Beosztása, tudományos fokozata</w:t>
            </w:r>
          </w:p>
        </w:tc>
        <w:tc>
          <w:tcPr>
            <w:tcW w:w="2254" w:type="dxa"/>
            <w:vAlign w:val="center"/>
          </w:tcPr>
          <w:p w:rsidR="00155773" w:rsidRPr="00D10467" w:rsidRDefault="00D10467" w:rsidP="00AB7D1D">
            <w:pPr>
              <w:rPr>
                <w:b/>
                <w:sz w:val="22"/>
                <w:szCs w:val="22"/>
              </w:rPr>
            </w:pPr>
            <w:r>
              <w:rPr>
                <w:b/>
                <w:sz w:val="22"/>
                <w:szCs w:val="22"/>
              </w:rPr>
              <w:t>oktató</w:t>
            </w:r>
          </w:p>
        </w:tc>
      </w:tr>
      <w:tr w:rsidR="00155773" w:rsidTr="00AB7D1D">
        <w:trPr>
          <w:trHeight w:val="311"/>
          <w:jc w:val="center"/>
        </w:trPr>
        <w:tc>
          <w:tcPr>
            <w:tcW w:w="2965" w:type="dxa"/>
            <w:vAlign w:val="center"/>
          </w:tcPr>
          <w:p w:rsidR="00155773" w:rsidRPr="001F6121" w:rsidRDefault="00155773" w:rsidP="00AB7D1D">
            <w:r w:rsidRPr="001F6121">
              <w:t>Tantárgy óraszáma</w:t>
            </w:r>
          </w:p>
        </w:tc>
        <w:tc>
          <w:tcPr>
            <w:tcW w:w="6762" w:type="dxa"/>
            <w:gridSpan w:val="3"/>
            <w:vAlign w:val="center"/>
          </w:tcPr>
          <w:p w:rsidR="00155773" w:rsidRPr="00231E04" w:rsidRDefault="00155773" w:rsidP="00AB7D1D">
            <w:pPr>
              <w:rPr>
                <w:b/>
              </w:rPr>
            </w:pPr>
            <w:r w:rsidRPr="00231E04">
              <w:rPr>
                <w:b/>
              </w:rPr>
              <w:t xml:space="preserve">nappali </w:t>
            </w:r>
            <w:r w:rsidR="00A77DAB">
              <w:rPr>
                <w:b/>
              </w:rPr>
              <w:t xml:space="preserve">és levelező tagozaton: </w:t>
            </w:r>
            <w:r w:rsidR="00AB7D1D">
              <w:rPr>
                <w:b/>
              </w:rPr>
              <w:t>12 óra</w:t>
            </w:r>
          </w:p>
        </w:tc>
      </w:tr>
      <w:tr w:rsidR="00155773" w:rsidTr="00AB7D1D">
        <w:trPr>
          <w:trHeight w:val="331"/>
          <w:jc w:val="center"/>
        </w:trPr>
        <w:tc>
          <w:tcPr>
            <w:tcW w:w="2965" w:type="dxa"/>
            <w:vAlign w:val="center"/>
          </w:tcPr>
          <w:p w:rsidR="00155773" w:rsidRPr="001F6121" w:rsidRDefault="00155773" w:rsidP="00AB7D1D">
            <w:r w:rsidRPr="001F6121">
              <w:t>Tanóra típusa</w:t>
            </w:r>
          </w:p>
        </w:tc>
        <w:tc>
          <w:tcPr>
            <w:tcW w:w="6762" w:type="dxa"/>
            <w:gridSpan w:val="3"/>
            <w:vAlign w:val="center"/>
          </w:tcPr>
          <w:p w:rsidR="00155773" w:rsidRPr="00231E04" w:rsidRDefault="00A77DAB" w:rsidP="00AB7D1D">
            <w:r w:rsidRPr="00D30042">
              <w:rPr>
                <w:b/>
                <w:sz w:val="22"/>
                <w:szCs w:val="22"/>
              </w:rPr>
              <w:t>szeminárium</w:t>
            </w:r>
          </w:p>
        </w:tc>
      </w:tr>
      <w:tr w:rsidR="00155773" w:rsidTr="00AB7D1D">
        <w:trPr>
          <w:trHeight w:val="310"/>
          <w:jc w:val="center"/>
        </w:trPr>
        <w:tc>
          <w:tcPr>
            <w:tcW w:w="2965" w:type="dxa"/>
            <w:vAlign w:val="center"/>
          </w:tcPr>
          <w:p w:rsidR="00155773" w:rsidRPr="001F6121" w:rsidRDefault="00155773" w:rsidP="00AB7D1D">
            <w:r w:rsidRPr="001F6121">
              <w:t>Meghirdetési időszak</w:t>
            </w:r>
          </w:p>
        </w:tc>
        <w:tc>
          <w:tcPr>
            <w:tcW w:w="6762" w:type="dxa"/>
            <w:gridSpan w:val="3"/>
            <w:vAlign w:val="center"/>
          </w:tcPr>
          <w:p w:rsidR="00155773" w:rsidRPr="00231E04" w:rsidRDefault="00D10467" w:rsidP="00AB7D1D">
            <w:pPr>
              <w:rPr>
                <w:b/>
              </w:rPr>
            </w:pPr>
            <w:r>
              <w:rPr>
                <w:b/>
              </w:rPr>
              <w:t>őszi félév</w:t>
            </w:r>
          </w:p>
        </w:tc>
      </w:tr>
      <w:tr w:rsidR="00155773" w:rsidTr="00AB7D1D">
        <w:trPr>
          <w:trHeight w:val="315"/>
          <w:jc w:val="center"/>
        </w:trPr>
        <w:tc>
          <w:tcPr>
            <w:tcW w:w="2965" w:type="dxa"/>
            <w:vAlign w:val="center"/>
          </w:tcPr>
          <w:p w:rsidR="00155773" w:rsidRPr="001F6121" w:rsidRDefault="00155773" w:rsidP="00AB7D1D">
            <w:r w:rsidRPr="001F6121">
              <w:t>Kreditszám</w:t>
            </w:r>
          </w:p>
        </w:tc>
        <w:tc>
          <w:tcPr>
            <w:tcW w:w="6762" w:type="dxa"/>
            <w:gridSpan w:val="3"/>
            <w:vAlign w:val="center"/>
          </w:tcPr>
          <w:p w:rsidR="00155773" w:rsidRPr="00231E04" w:rsidRDefault="00A77DAB" w:rsidP="00AB7D1D">
            <w:r>
              <w:rPr>
                <w:b/>
              </w:rPr>
              <w:t>2</w:t>
            </w:r>
            <w:r w:rsidR="00155773" w:rsidRPr="00231E04">
              <w:rPr>
                <w:b/>
              </w:rPr>
              <w:t xml:space="preserve"> </w:t>
            </w:r>
            <w:r w:rsidR="00155773">
              <w:rPr>
                <w:b/>
              </w:rPr>
              <w:t>kredit</w:t>
            </w:r>
          </w:p>
        </w:tc>
      </w:tr>
      <w:tr w:rsidR="00155773" w:rsidTr="00AB7D1D">
        <w:trPr>
          <w:trHeight w:val="1774"/>
          <w:jc w:val="center"/>
        </w:trPr>
        <w:tc>
          <w:tcPr>
            <w:tcW w:w="2965" w:type="dxa"/>
            <w:vAlign w:val="center"/>
          </w:tcPr>
          <w:p w:rsidR="00155773" w:rsidRPr="001F6121" w:rsidRDefault="00155773" w:rsidP="00AB7D1D">
            <w:r w:rsidRPr="001F6121">
              <w:t>A tantárgy</w:t>
            </w:r>
            <w:r w:rsidR="001F6121" w:rsidRPr="001F6121">
              <w:t xml:space="preserve"> oktatásának</w:t>
            </w:r>
            <w:r w:rsidRPr="001F6121">
              <w:t xml:space="preserve"> célja</w:t>
            </w:r>
          </w:p>
        </w:tc>
        <w:tc>
          <w:tcPr>
            <w:tcW w:w="6762" w:type="dxa"/>
            <w:gridSpan w:val="3"/>
            <w:vAlign w:val="center"/>
          </w:tcPr>
          <w:p w:rsidR="007F39B7" w:rsidRPr="001F6121" w:rsidRDefault="00AB7D1D" w:rsidP="00AB7D1D">
            <w:pPr>
              <w:jc w:val="both"/>
            </w:pPr>
            <w:r>
              <w:t>Általános áttekintést adni Európa történelmi régióiról a Bibó István és Szűcs Jenő által kidolgozott három „történelmi régió” keretben. A főiskolai kurzus során a hallgatók az európai nagyvárosok fejlődéstörténetét és az európai kisebbségek helyzetét (meghatározóan az EU-ban élő roma kisebbség helyzetének alakulását)</w:t>
            </w:r>
            <w:bookmarkStart w:id="0" w:name="_GoBack"/>
            <w:bookmarkEnd w:id="0"/>
            <w:r>
              <w:t xml:space="preserve"> ebben a történelmi keretben fogják megismerni.</w:t>
            </w:r>
          </w:p>
        </w:tc>
      </w:tr>
      <w:tr w:rsidR="00155773" w:rsidTr="001F6121">
        <w:trPr>
          <w:jc w:val="center"/>
        </w:trPr>
        <w:tc>
          <w:tcPr>
            <w:tcW w:w="2965" w:type="dxa"/>
            <w:vAlign w:val="center"/>
          </w:tcPr>
          <w:p w:rsidR="00155773" w:rsidRPr="001F6121" w:rsidRDefault="00155773" w:rsidP="00AB7D1D">
            <w:r w:rsidRPr="001F6121">
              <w:t>Szükséges előtanulmányok, feltételezett tudásanyag</w:t>
            </w:r>
          </w:p>
        </w:tc>
        <w:tc>
          <w:tcPr>
            <w:tcW w:w="6762" w:type="dxa"/>
            <w:gridSpan w:val="3"/>
            <w:vAlign w:val="center"/>
          </w:tcPr>
          <w:p w:rsidR="00155773" w:rsidRPr="001F6121" w:rsidRDefault="00AB7D1D" w:rsidP="00AB7D1D">
            <w:pPr>
              <w:jc w:val="both"/>
            </w:pPr>
            <w:r w:rsidRPr="00EE3CF8">
              <w:t xml:space="preserve">A gimnáziumi érettségihez szükséges tananyag elégséges az interaktív módon felépített előadások megértéséhez. Az egyes foglalkozások </w:t>
            </w:r>
            <w:proofErr w:type="gramStart"/>
            <w:r w:rsidRPr="00EE3CF8">
              <w:t>során</w:t>
            </w:r>
            <w:proofErr w:type="gramEnd"/>
            <w:r>
              <w:t xml:space="preserve"> az azokon ismertetett tanulmányokat a hallgatóknak kötelező olvasmányként kell kezelni.</w:t>
            </w:r>
          </w:p>
        </w:tc>
      </w:tr>
      <w:tr w:rsidR="001F6121" w:rsidTr="003C45A6">
        <w:trPr>
          <w:trHeight w:val="1551"/>
          <w:jc w:val="center"/>
        </w:trPr>
        <w:tc>
          <w:tcPr>
            <w:tcW w:w="2965" w:type="dxa"/>
            <w:vAlign w:val="center"/>
          </w:tcPr>
          <w:p w:rsidR="001F6121" w:rsidRPr="001F6121" w:rsidRDefault="001F6121" w:rsidP="00AB7D1D">
            <w:r w:rsidRPr="001F6121">
              <w:t>Fejlesztendő kompetenciaterületek:</w:t>
            </w:r>
          </w:p>
        </w:tc>
        <w:tc>
          <w:tcPr>
            <w:tcW w:w="6762" w:type="dxa"/>
            <w:gridSpan w:val="3"/>
            <w:vAlign w:val="center"/>
          </w:tcPr>
          <w:p w:rsidR="005D2008" w:rsidRPr="001F6121" w:rsidRDefault="00AB7D1D" w:rsidP="00AB7D1D">
            <w:pPr>
              <w:jc w:val="both"/>
            </w:pPr>
            <w:r>
              <w:t xml:space="preserve">A </w:t>
            </w:r>
            <w:proofErr w:type="spellStart"/>
            <w:r>
              <w:t>kultúrantropológia</w:t>
            </w:r>
            <w:proofErr w:type="spellEnd"/>
            <w:r>
              <w:t>, a szociológia és a történelemtudomány módszertanának megismerésével az analitikus gondolkodás fejlesztése és a tudásanyag gyarapítása a cél. Mindezt a hallgatók a gyakorlati munkában is hasznosítani tudják, de abban az esetben, hogyha saját kutatásba kezdenek, akkor elengedhetetlen ennek a módszertannak az elsajátítása.</w:t>
            </w:r>
          </w:p>
        </w:tc>
      </w:tr>
      <w:tr w:rsidR="00AB7D1D" w:rsidTr="003C45A6">
        <w:trPr>
          <w:trHeight w:val="1551"/>
          <w:jc w:val="center"/>
        </w:trPr>
        <w:tc>
          <w:tcPr>
            <w:tcW w:w="2965" w:type="dxa"/>
            <w:vAlign w:val="center"/>
          </w:tcPr>
          <w:p w:rsidR="00AB7D1D" w:rsidRPr="001F6121" w:rsidRDefault="00AB7D1D" w:rsidP="00AB7D1D">
            <w:r w:rsidRPr="001F6121">
              <w:lastRenderedPageBreak/>
              <w:t>Tantárgyi leírás (tematikával együtt)</w:t>
            </w:r>
          </w:p>
        </w:tc>
        <w:tc>
          <w:tcPr>
            <w:tcW w:w="6762" w:type="dxa"/>
            <w:gridSpan w:val="3"/>
            <w:vAlign w:val="center"/>
          </w:tcPr>
          <w:p w:rsidR="00AB7D1D" w:rsidRDefault="00AB7D1D" w:rsidP="00AB7D1D">
            <w:pPr>
              <w:ind w:left="426" w:hanging="426"/>
            </w:pPr>
            <w:r>
              <w:t xml:space="preserve">1. </w:t>
            </w:r>
            <w:r>
              <w:tab/>
              <w:t xml:space="preserve">A történelemtudomány, a szociológia, valamint a </w:t>
            </w:r>
            <w:proofErr w:type="spellStart"/>
            <w:r>
              <w:t>kultúrantropológia</w:t>
            </w:r>
            <w:proofErr w:type="spellEnd"/>
            <w:r>
              <w:t xml:space="preserve"> módszertani megközelítéseinek összehasonlítása. </w:t>
            </w:r>
          </w:p>
          <w:p w:rsidR="00AB7D1D" w:rsidRDefault="00AB7D1D" w:rsidP="00AB7D1D">
            <w:pPr>
              <w:ind w:left="426" w:hanging="426"/>
            </w:pPr>
            <w:r>
              <w:t>2.</w:t>
            </w:r>
            <w:r>
              <w:tab/>
              <w:t xml:space="preserve">Az előbbi összefüggéseket az előadások során és a hallgatókkal beszélgetve </w:t>
            </w:r>
            <w:proofErr w:type="gramStart"/>
            <w:r>
              <w:t>a  Bibó</w:t>
            </w:r>
            <w:proofErr w:type="gramEnd"/>
            <w:r>
              <w:t xml:space="preserve"> István és Szűcs Jenő „három európai régióról” szóló írásainak közös feldolgozása során ismerjük meg.</w:t>
            </w:r>
          </w:p>
          <w:p w:rsidR="00AB7D1D" w:rsidRDefault="00AB7D1D" w:rsidP="00AB7D1D">
            <w:pPr>
              <w:ind w:left="426" w:hanging="426"/>
            </w:pPr>
            <w:r>
              <w:t>3.</w:t>
            </w:r>
            <w:r>
              <w:tab/>
              <w:t>Ebben a keretben tárgyaljuk az európai nagyvárosok fejlődésének történelmi útjait.</w:t>
            </w:r>
          </w:p>
          <w:p w:rsidR="00AB7D1D" w:rsidRDefault="00AB7D1D" w:rsidP="00AB7D1D">
            <w:pPr>
              <w:ind w:left="426" w:hanging="426"/>
            </w:pPr>
            <w:r>
              <w:t>4.</w:t>
            </w:r>
            <w:r>
              <w:tab/>
              <w:t>A roma kisebbség sorsának alakulása a három történelmi régióban kiemelt téma.</w:t>
            </w:r>
          </w:p>
          <w:p w:rsidR="00AB7D1D" w:rsidRDefault="00AB7D1D" w:rsidP="00AB7D1D">
            <w:pPr>
              <w:ind w:left="426" w:hanging="426"/>
            </w:pPr>
            <w:r>
              <w:t>5.</w:t>
            </w:r>
            <w:r>
              <w:tab/>
              <w:t xml:space="preserve">A </w:t>
            </w:r>
            <w:proofErr w:type="gramStart"/>
            <w:r>
              <w:t>szovjet rendszer</w:t>
            </w:r>
            <w:proofErr w:type="gramEnd"/>
            <w:r>
              <w:t xml:space="preserve"> működésének leírása és részletes elemzése, a közép-európai régió fő témája.</w:t>
            </w:r>
          </w:p>
          <w:p w:rsidR="00AB7D1D" w:rsidRDefault="00AB7D1D" w:rsidP="00AB7D1D">
            <w:pPr>
              <w:ind w:left="426" w:hanging="426"/>
            </w:pPr>
            <w:r>
              <w:t>6.</w:t>
            </w:r>
            <w:r>
              <w:tab/>
              <w:t>A rendszerváltás előzményeivel és lefolyásával a történelmi keretek ismertetésével együtt foglalkozunk.</w:t>
            </w:r>
          </w:p>
          <w:p w:rsidR="00AB7D1D" w:rsidRDefault="00AB7D1D" w:rsidP="00AB7D1D">
            <w:pPr>
              <w:jc w:val="center"/>
              <w:rPr>
                <w:b/>
              </w:rPr>
            </w:pPr>
          </w:p>
          <w:p w:rsidR="00AB7D1D" w:rsidRPr="007E2A17" w:rsidRDefault="00AB7D1D" w:rsidP="00AB7D1D">
            <w:pPr>
              <w:jc w:val="center"/>
              <w:rPr>
                <w:b/>
              </w:rPr>
            </w:pPr>
            <w:r w:rsidRPr="007E2A17">
              <w:rPr>
                <w:b/>
              </w:rPr>
              <w:t>Jegyzet</w:t>
            </w:r>
          </w:p>
          <w:p w:rsidR="00AB7D1D" w:rsidRDefault="00AB7D1D" w:rsidP="00AB7D1D"/>
          <w:p w:rsidR="00AB7D1D" w:rsidRPr="00AB7D1D" w:rsidRDefault="00AB7D1D" w:rsidP="00AB7D1D">
            <w:pPr>
              <w:jc w:val="both"/>
            </w:pPr>
            <w:r>
              <w:t xml:space="preserve">A három történelmi régió elmélet, az a szélesebb keret, amely </w:t>
            </w:r>
            <w:proofErr w:type="gramStart"/>
            <w:r>
              <w:t>ezen</w:t>
            </w:r>
            <w:proofErr w:type="gramEnd"/>
            <w:r>
              <w:t xml:space="preserve"> földrajzilag pontosan lehatárolható régiók társadalmi-politikai sajátosságaival magyarázza az eltérő fejlődésükből adódó különböző politikai rezsimek, berendezkedések kialakulását. Számtalan látszólag egymásnak össze nem függő jelenség hátterére világít rá a történelmi régiók elmélete, mintegy keretet adva a későbbi előadásoknak és akár a hallgatók saját kutatásai számára is. A három történelmi régió elmélete az előadó véleménye szerint nem minden területen alkalmazható és nem az „abszolút igazságra” mutat rá, mert az nem létezik. Vannak olyan példák, amelyeket el fogok mondani az előadásomban, amelyek arról szólnak, hogy az egyes régiók bizonyos történelmi korszakokban nem a klasszikusan értelmezett és a Bibó–Szűcs páros által leírt módon működtek. (Ilyen például az úgynevezett cigánykérdés kezelése II. József és Mária Terézia által és erre a különleges kivételre mutat rá az 1782-es cigánypernek a története, amelynek bemutatásával rá kívánok mutatni arra, hogy a Habsburg Birodalomban a felvilágosult abszolutizmusnak mi volt a roma kisebbségek helyzetével kapcsolatos politikája, mennyiben volt ez kudarc és mit hozott, milyen helyzetet teremtet.)</w:t>
            </w:r>
          </w:p>
        </w:tc>
      </w:tr>
      <w:tr w:rsidR="00AB7D1D" w:rsidTr="00AB7D1D">
        <w:trPr>
          <w:trHeight w:val="6712"/>
          <w:jc w:val="center"/>
        </w:trPr>
        <w:tc>
          <w:tcPr>
            <w:tcW w:w="2965" w:type="dxa"/>
            <w:vAlign w:val="center"/>
          </w:tcPr>
          <w:p w:rsidR="00AB7D1D" w:rsidRPr="001F6121" w:rsidRDefault="00AB7D1D" w:rsidP="00AB7D1D">
            <w:r w:rsidRPr="001F6121">
              <w:t>Kötelező és ajánlott irodalom</w:t>
            </w:r>
          </w:p>
        </w:tc>
        <w:tc>
          <w:tcPr>
            <w:tcW w:w="6762" w:type="dxa"/>
            <w:gridSpan w:val="3"/>
            <w:vAlign w:val="center"/>
          </w:tcPr>
          <w:p w:rsidR="00AB7D1D" w:rsidRPr="00EE3CF8" w:rsidRDefault="00AB7D1D" w:rsidP="00AB7D1D">
            <w:pPr>
              <w:jc w:val="center"/>
              <w:rPr>
                <w:b/>
              </w:rPr>
            </w:pPr>
            <w:r w:rsidRPr="00EE3CF8">
              <w:rPr>
                <w:b/>
              </w:rPr>
              <w:t>Kötelező és ajánlott irodalom</w:t>
            </w:r>
          </w:p>
          <w:p w:rsidR="00AB7D1D" w:rsidRDefault="00AB7D1D" w:rsidP="00AB7D1D"/>
          <w:p w:rsidR="00AB7D1D" w:rsidRDefault="00AB7D1D" w:rsidP="00AB7D1D">
            <w:r>
              <w:t>D. G</w:t>
            </w:r>
            <w:proofErr w:type="gramStart"/>
            <w:r>
              <w:t>.:</w:t>
            </w:r>
            <w:proofErr w:type="gramEnd"/>
            <w:r>
              <w:t xml:space="preserve"> Elmesélem neked, nem fog beletörni a nyelvem</w:t>
            </w:r>
          </w:p>
          <w:p w:rsidR="00AB7D1D" w:rsidRDefault="00AB7D1D" w:rsidP="00AB7D1D">
            <w:r>
              <w:t>D. G</w:t>
            </w:r>
            <w:proofErr w:type="gramStart"/>
            <w:r>
              <w:t>.:</w:t>
            </w:r>
            <w:proofErr w:type="gramEnd"/>
            <w:r>
              <w:t xml:space="preserve"> Elveszett szabadság</w:t>
            </w:r>
          </w:p>
          <w:p w:rsidR="00AB7D1D" w:rsidRDefault="00AB7D1D" w:rsidP="00AB7D1D">
            <w:r>
              <w:t xml:space="preserve">L. </w:t>
            </w:r>
            <w:proofErr w:type="spellStart"/>
            <w:r>
              <w:t>Ritók</w:t>
            </w:r>
            <w:proofErr w:type="spellEnd"/>
            <w:r>
              <w:t xml:space="preserve"> Nóra: Láthatatlan Magyarország Tea Kiadó, 2017</w:t>
            </w:r>
          </w:p>
          <w:p w:rsidR="00AB7D1D" w:rsidRDefault="00AB7D1D" w:rsidP="00AB7D1D">
            <w:r>
              <w:t>C. Levi Strauss</w:t>
            </w:r>
            <w:proofErr w:type="gramStart"/>
            <w:r>
              <w:t>:  Szomorú</w:t>
            </w:r>
            <w:proofErr w:type="gramEnd"/>
            <w:r>
              <w:t xml:space="preserve"> trópusok, Európa Könyvkiadó 1979</w:t>
            </w:r>
          </w:p>
          <w:p w:rsidR="00AB7D1D" w:rsidRDefault="00AB7D1D" w:rsidP="00AB7D1D">
            <w:r>
              <w:t xml:space="preserve">B. </w:t>
            </w:r>
            <w:proofErr w:type="spellStart"/>
            <w:r>
              <w:t>Malinowski</w:t>
            </w:r>
            <w:proofErr w:type="spellEnd"/>
            <w:r>
              <w:t xml:space="preserve">: </w:t>
            </w:r>
            <w:proofErr w:type="spellStart"/>
            <w:r>
              <w:t>Baloma</w:t>
            </w:r>
            <w:proofErr w:type="spellEnd"/>
            <w:r>
              <w:t>, Gondolat, 1972</w:t>
            </w:r>
          </w:p>
          <w:p w:rsidR="00AB7D1D" w:rsidRDefault="00AB7D1D" w:rsidP="00AB7D1D">
            <w:r>
              <w:t xml:space="preserve">Anne </w:t>
            </w:r>
            <w:proofErr w:type="spellStart"/>
            <w:r>
              <w:t>Applebaum</w:t>
            </w:r>
            <w:proofErr w:type="spellEnd"/>
            <w:r>
              <w:t>: Vasfüggöny, Budapest 2004</w:t>
            </w:r>
          </w:p>
          <w:p w:rsidR="00AB7D1D" w:rsidRDefault="00AB7D1D" w:rsidP="00AB7D1D">
            <w:r>
              <w:t xml:space="preserve">Anne </w:t>
            </w:r>
            <w:proofErr w:type="spellStart"/>
            <w:r>
              <w:t>Applebaum</w:t>
            </w:r>
            <w:proofErr w:type="spellEnd"/>
            <w:r>
              <w:t xml:space="preserve">: </w:t>
            </w:r>
            <w:proofErr w:type="spellStart"/>
            <w:r>
              <w:t>Galag</w:t>
            </w:r>
            <w:proofErr w:type="spellEnd"/>
            <w:r>
              <w:t xml:space="preserve"> </w:t>
            </w:r>
            <w:proofErr w:type="spellStart"/>
            <w:r>
              <w:t>Doubleday</w:t>
            </w:r>
            <w:proofErr w:type="spellEnd"/>
            <w:r>
              <w:t>, 2003</w:t>
            </w:r>
          </w:p>
          <w:p w:rsidR="00AB7D1D" w:rsidRDefault="00AB7D1D" w:rsidP="00AB7D1D">
            <w:r>
              <w:t>Révész Sándor: A múlt köde (1998–2002) Népszabadság könyvek</w:t>
            </w:r>
          </w:p>
          <w:p w:rsidR="00AB7D1D" w:rsidRDefault="00AB7D1D" w:rsidP="00AB7D1D">
            <w:r>
              <w:t xml:space="preserve">Solt </w:t>
            </w:r>
            <w:proofErr w:type="spellStart"/>
            <w:r>
              <w:t>Ottilia</w:t>
            </w:r>
            <w:proofErr w:type="spellEnd"/>
            <w:r>
              <w:t>: Méltóságot mindenkinek (Összegyűjtött írások) 2000 Beszélő 1998</w:t>
            </w:r>
          </w:p>
          <w:p w:rsidR="00AB7D1D" w:rsidRDefault="00AB7D1D" w:rsidP="00AB7D1D">
            <w:r>
              <w:t>Budapest krónikája: Corvina Kiadó, 2002</w:t>
            </w:r>
          </w:p>
          <w:p w:rsidR="00AB7D1D" w:rsidRDefault="00AB7D1D" w:rsidP="00AB7D1D">
            <w:r>
              <w:t>Romsics Ignác: Magyarország története (Kossuth Kiadó, 2007)</w:t>
            </w:r>
          </w:p>
          <w:p w:rsidR="00AB7D1D" w:rsidRDefault="00AB7D1D" w:rsidP="00AB7D1D">
            <w:proofErr w:type="spellStart"/>
            <w:r>
              <w:t>Kornai</w:t>
            </w:r>
            <w:proofErr w:type="spellEnd"/>
            <w:r>
              <w:t xml:space="preserve"> János: A gondolat erejével, Osiris Kiadó 2005</w:t>
            </w:r>
          </w:p>
          <w:p w:rsidR="00AB7D1D" w:rsidRDefault="00AB7D1D" w:rsidP="00AB7D1D">
            <w:r>
              <w:t>Iványi Gábor: Hajléktalanok Budapest, 1998</w:t>
            </w:r>
          </w:p>
          <w:p w:rsidR="00AB7D1D" w:rsidRDefault="00AB7D1D" w:rsidP="00AB7D1D">
            <w:proofErr w:type="spellStart"/>
            <w:r>
              <w:t>Timothy</w:t>
            </w:r>
            <w:proofErr w:type="spellEnd"/>
            <w:r>
              <w:t xml:space="preserve"> </w:t>
            </w:r>
            <w:proofErr w:type="spellStart"/>
            <w:r>
              <w:t>Garton</w:t>
            </w:r>
            <w:proofErr w:type="spellEnd"/>
            <w:r>
              <w:t xml:space="preserve"> </w:t>
            </w:r>
            <w:proofErr w:type="spellStart"/>
            <w:r>
              <w:t>Ash</w:t>
            </w:r>
            <w:proofErr w:type="spellEnd"/>
            <w:r>
              <w:t>: A birodalom hanyatlása, Létezik-e Közép-Európa? AB Független Kiadó 1989</w:t>
            </w:r>
          </w:p>
          <w:p w:rsidR="00AB7D1D" w:rsidRDefault="00AB7D1D" w:rsidP="00AB7D1D"/>
          <w:p w:rsidR="00AB7D1D" w:rsidRPr="00EE3CF8" w:rsidRDefault="00AB7D1D" w:rsidP="00AB7D1D">
            <w:pPr>
              <w:jc w:val="center"/>
              <w:rPr>
                <w:b/>
              </w:rPr>
            </w:pPr>
            <w:r w:rsidRPr="00EE3CF8">
              <w:rPr>
                <w:b/>
              </w:rPr>
              <w:t>Ajánlott irodalom</w:t>
            </w:r>
          </w:p>
          <w:p w:rsidR="00AB7D1D" w:rsidRDefault="00AB7D1D" w:rsidP="00AB7D1D"/>
          <w:p w:rsidR="00AB7D1D" w:rsidRDefault="00AB7D1D" w:rsidP="00AB7D1D">
            <w:r>
              <w:t>Demszky Gábor: A civil kurázsitól a civil társadalomig. Cikksorozat a 168 órában, Bagó I. II. III. IV. V. rész (ÉS, 2020 június–augusztus)</w:t>
            </w:r>
          </w:p>
          <w:p w:rsidR="00AB7D1D" w:rsidRPr="00AB7D1D" w:rsidRDefault="00AB7D1D" w:rsidP="00AB7D1D">
            <w:r>
              <w:t>Demszky Gábor: Kenyértörés ÉS</w:t>
            </w:r>
          </w:p>
        </w:tc>
      </w:tr>
      <w:tr w:rsidR="00AB7D1D" w:rsidTr="00AB7D1D">
        <w:trPr>
          <w:trHeight w:val="1232"/>
          <w:jc w:val="center"/>
        </w:trPr>
        <w:tc>
          <w:tcPr>
            <w:tcW w:w="2965" w:type="dxa"/>
            <w:vAlign w:val="center"/>
          </w:tcPr>
          <w:p w:rsidR="00AB7D1D" w:rsidRPr="001F6121" w:rsidRDefault="00AB7D1D" w:rsidP="00AB7D1D">
            <w:r w:rsidRPr="001F6121">
              <w:t>Ismeretek ellenőrzésének módja</w:t>
            </w:r>
          </w:p>
        </w:tc>
        <w:tc>
          <w:tcPr>
            <w:tcW w:w="6762" w:type="dxa"/>
            <w:gridSpan w:val="3"/>
            <w:vAlign w:val="center"/>
          </w:tcPr>
          <w:p w:rsidR="00AB7D1D" w:rsidRPr="00231E04" w:rsidRDefault="00AB7D1D" w:rsidP="00AB7D1D">
            <w:pPr>
              <w:jc w:val="both"/>
            </w:pPr>
            <w:r>
              <w:t>Mindhárom négyórás tanulmányi blokk azzal fejeződik be, hogy egy minimum három, maximum ötoldalnyi összefoglaló elemzést, esszét, tanulmányt kérek a hallgatóktól, amelyeket osztályozni fogok</w:t>
            </w:r>
            <w:r>
              <w:t>.</w:t>
            </w:r>
          </w:p>
        </w:tc>
      </w:tr>
      <w:tr w:rsidR="00AB7D1D" w:rsidTr="00AB7D1D">
        <w:trPr>
          <w:trHeight w:val="414"/>
          <w:jc w:val="center"/>
        </w:trPr>
        <w:tc>
          <w:tcPr>
            <w:tcW w:w="2965" w:type="dxa"/>
            <w:vAlign w:val="center"/>
          </w:tcPr>
          <w:p w:rsidR="00AB7D1D" w:rsidRPr="001F6121" w:rsidRDefault="00AB7D1D" w:rsidP="00AB7D1D">
            <w:r w:rsidRPr="001F6121">
              <w:t>Tantárgy tárgyi követelményei</w:t>
            </w:r>
          </w:p>
        </w:tc>
        <w:tc>
          <w:tcPr>
            <w:tcW w:w="6762" w:type="dxa"/>
            <w:gridSpan w:val="3"/>
            <w:vAlign w:val="center"/>
          </w:tcPr>
          <w:p w:rsidR="00AB7D1D" w:rsidRPr="00AB7D1D" w:rsidRDefault="00AB7D1D" w:rsidP="00AB7D1D">
            <w:pPr>
              <w:jc w:val="both"/>
            </w:pPr>
            <w:r>
              <w:t>10-15 fő befogadóképességű tanterem, projektor plusz laptop.</w:t>
            </w:r>
          </w:p>
        </w:tc>
      </w:tr>
    </w:tbl>
    <w:p w:rsidR="004C37D9" w:rsidRDefault="004C37D9"/>
    <w:sectPr w:rsidR="004C37D9" w:rsidSect="00020962">
      <w:pgSz w:w="11906" w:h="16838"/>
      <w:pgMar w:top="5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7CDD"/>
    <w:multiLevelType w:val="hybridMultilevel"/>
    <w:tmpl w:val="8334C2E4"/>
    <w:lvl w:ilvl="0" w:tplc="BE74F2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552394B"/>
    <w:multiLevelType w:val="hybridMultilevel"/>
    <w:tmpl w:val="DBAACC0A"/>
    <w:lvl w:ilvl="0" w:tplc="BE74F2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B221C7D"/>
    <w:multiLevelType w:val="hybridMultilevel"/>
    <w:tmpl w:val="4E022E7A"/>
    <w:lvl w:ilvl="0" w:tplc="19982A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2534909"/>
    <w:multiLevelType w:val="hybridMultilevel"/>
    <w:tmpl w:val="2E68B594"/>
    <w:lvl w:ilvl="0" w:tplc="BE74F2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DFB0C2E"/>
    <w:multiLevelType w:val="hybridMultilevel"/>
    <w:tmpl w:val="E9867AD0"/>
    <w:lvl w:ilvl="0" w:tplc="BE74F2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3C1"/>
    <w:rsid w:val="00020962"/>
    <w:rsid w:val="00084781"/>
    <w:rsid w:val="00155773"/>
    <w:rsid w:val="00193BE0"/>
    <w:rsid w:val="001F6121"/>
    <w:rsid w:val="00214366"/>
    <w:rsid w:val="0023080D"/>
    <w:rsid w:val="00231E04"/>
    <w:rsid w:val="002B2599"/>
    <w:rsid w:val="003367E5"/>
    <w:rsid w:val="0038047F"/>
    <w:rsid w:val="003C43A1"/>
    <w:rsid w:val="003C45A6"/>
    <w:rsid w:val="003D6BD8"/>
    <w:rsid w:val="004011FA"/>
    <w:rsid w:val="00436CB3"/>
    <w:rsid w:val="0044503E"/>
    <w:rsid w:val="00496621"/>
    <w:rsid w:val="004A0081"/>
    <w:rsid w:val="004C37D9"/>
    <w:rsid w:val="004C3A8B"/>
    <w:rsid w:val="005476F1"/>
    <w:rsid w:val="00592C78"/>
    <w:rsid w:val="005A3599"/>
    <w:rsid w:val="005B518C"/>
    <w:rsid w:val="005D2008"/>
    <w:rsid w:val="00622D92"/>
    <w:rsid w:val="006253C1"/>
    <w:rsid w:val="00720CB8"/>
    <w:rsid w:val="007926B6"/>
    <w:rsid w:val="007F39B7"/>
    <w:rsid w:val="00840562"/>
    <w:rsid w:val="008C647F"/>
    <w:rsid w:val="008F01F0"/>
    <w:rsid w:val="009076EA"/>
    <w:rsid w:val="0098378F"/>
    <w:rsid w:val="009A72A9"/>
    <w:rsid w:val="00A6705B"/>
    <w:rsid w:val="00A77DAB"/>
    <w:rsid w:val="00AB7D1D"/>
    <w:rsid w:val="00AF3205"/>
    <w:rsid w:val="00BA32DB"/>
    <w:rsid w:val="00C52B8D"/>
    <w:rsid w:val="00D10467"/>
    <w:rsid w:val="00D23A7D"/>
    <w:rsid w:val="00E36CB8"/>
    <w:rsid w:val="00E66FE3"/>
    <w:rsid w:val="00E865C3"/>
    <w:rsid w:val="00F15B0E"/>
    <w:rsid w:val="00F53749"/>
    <w:rsid w:val="00F64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734A506-4A4F-4C44-911E-C05F41C7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0562"/>
    <w:rPr>
      <w:sz w:val="24"/>
      <w:szCs w:val="24"/>
    </w:rPr>
  </w:style>
  <w:style w:type="paragraph" w:styleId="Cmsor4">
    <w:name w:val="heading 4"/>
    <w:basedOn w:val="Norml"/>
    <w:next w:val="Norml"/>
    <w:qFormat/>
    <w:rsid w:val="00840562"/>
    <w:pPr>
      <w:keepNext/>
      <w:autoSpaceDE w:val="0"/>
      <w:autoSpaceDN w:val="0"/>
      <w:ind w:right="284"/>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962"/>
    <w:pPr>
      <w:autoSpaceDE w:val="0"/>
      <w:autoSpaceDN w:val="0"/>
      <w:adjustRightInd w:val="0"/>
    </w:pPr>
    <w:rPr>
      <w:rFonts w:eastAsia="Calibri"/>
      <w:color w:val="000000"/>
      <w:sz w:val="24"/>
      <w:szCs w:val="24"/>
      <w:lang w:eastAsia="en-US"/>
    </w:rPr>
  </w:style>
  <w:style w:type="character" w:styleId="Hiperhivatkozs">
    <w:name w:val="Hyperlink"/>
    <w:uiPriority w:val="99"/>
    <w:unhideWhenUsed/>
    <w:rsid w:val="00020962"/>
    <w:rPr>
      <w:color w:val="0000FF"/>
      <w:u w:val="single"/>
    </w:rPr>
  </w:style>
  <w:style w:type="paragraph" w:styleId="Szvegtrzs">
    <w:name w:val="Body Text"/>
    <w:basedOn w:val="Norml"/>
    <w:link w:val="SzvegtrzsChar"/>
    <w:semiHidden/>
    <w:rsid w:val="00020962"/>
    <w:pPr>
      <w:jc w:val="both"/>
    </w:pPr>
    <w:rPr>
      <w:i/>
      <w:iCs/>
      <w:lang w:val="x-none" w:eastAsia="x-none"/>
    </w:rPr>
  </w:style>
  <w:style w:type="character" w:customStyle="1" w:styleId="SzvegtrzsChar">
    <w:name w:val="Szövegtörzs Char"/>
    <w:link w:val="Szvegtrzs"/>
    <w:semiHidden/>
    <w:rsid w:val="00020962"/>
    <w:rPr>
      <w:i/>
      <w:iCs/>
      <w:sz w:val="24"/>
      <w:szCs w:val="24"/>
      <w:lang w:val="x-none" w:eastAsia="x-none"/>
    </w:rPr>
  </w:style>
  <w:style w:type="character" w:styleId="Kiemels">
    <w:name w:val="Emphasis"/>
    <w:uiPriority w:val="20"/>
    <w:qFormat/>
    <w:rsid w:val="005476F1"/>
    <w:rPr>
      <w:i/>
      <w:iCs/>
    </w:rPr>
  </w:style>
  <w:style w:type="paragraph" w:styleId="Buborkszveg">
    <w:name w:val="Balloon Text"/>
    <w:basedOn w:val="Norml"/>
    <w:link w:val="BuborkszvegChar"/>
    <w:uiPriority w:val="99"/>
    <w:semiHidden/>
    <w:unhideWhenUsed/>
    <w:rsid w:val="00496621"/>
    <w:rPr>
      <w:rFonts w:ascii="Tahoma" w:hAnsi="Tahoma" w:cs="Tahoma"/>
      <w:sz w:val="16"/>
      <w:szCs w:val="16"/>
    </w:rPr>
  </w:style>
  <w:style w:type="character" w:customStyle="1" w:styleId="BuborkszvegChar">
    <w:name w:val="Buborékszöveg Char"/>
    <w:link w:val="Buborkszveg"/>
    <w:uiPriority w:val="99"/>
    <w:semiHidden/>
    <w:rsid w:val="00496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4083</Characters>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4665</CharactersWithSpaces>
  <SharedDoc>false</SharedDoc>
  <HLinks>
    <vt:vector size="18" baseType="variant">
      <vt:variant>
        <vt:i4>7471146</vt:i4>
      </vt:variant>
      <vt:variant>
        <vt:i4>6</vt:i4>
      </vt:variant>
      <vt:variant>
        <vt:i4>0</vt:i4>
      </vt:variant>
      <vt:variant>
        <vt:i4>5</vt:i4>
      </vt:variant>
      <vt:variant>
        <vt:lpwstr>http://index.hu/belfold/2011/11/03/borton_fenyegeti_a_hajlektalanok_vedoit/</vt:lpwstr>
      </vt:variant>
      <vt:variant>
        <vt:lpwstr/>
      </vt:variant>
      <vt:variant>
        <vt:i4>589940</vt:i4>
      </vt:variant>
      <vt:variant>
        <vt:i4>3</vt:i4>
      </vt:variant>
      <vt:variant>
        <vt:i4>0</vt:i4>
      </vt:variant>
      <vt:variant>
        <vt:i4>5</vt:i4>
      </vt:variant>
      <vt:variant>
        <vt:lpwstr>http://www.esely.org/kiadvanyok/2014_3/2004-3_3-1_Bugarszki_szocmunka_valsaga.pdf</vt:lpwstr>
      </vt:variant>
      <vt:variant>
        <vt:lpwstr/>
      </vt:variant>
      <vt:variant>
        <vt:i4>131080</vt:i4>
      </vt:variant>
      <vt:variant>
        <vt:i4>0</vt:i4>
      </vt:variant>
      <vt:variant>
        <vt:i4>0</vt:i4>
      </vt:variant>
      <vt:variant>
        <vt:i4>5</vt:i4>
      </vt:variant>
      <vt:variant>
        <vt:lpwstr>http://3sz.hu/sites/default/files/Etikai.pdf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2019-02-10T19:44:00Z</cp:lastPrinted>
  <dcterms:created xsi:type="dcterms:W3CDTF">2020-10-12T14:15:00Z</dcterms:created>
  <dcterms:modified xsi:type="dcterms:W3CDTF">2020-10-12T14:22:00Z</dcterms:modified>
</cp:coreProperties>
</file>