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:rsidRPr="009C5B59" w14:paraId="2F1B8D6F" w14:textId="77777777" w:rsidTr="00395F25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A748E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bookmarkStart w:id="0" w:name="_GoBack"/>
            <w:bookmarkEnd w:id="0"/>
            <w:r w:rsidRPr="009C5B59">
              <w:rPr>
                <w:sz w:val="22"/>
                <w:szCs w:val="22"/>
              </w:rPr>
              <w:t>Tantárgy neve:</w:t>
            </w:r>
          </w:p>
          <w:p w14:paraId="035662BA" w14:textId="33E8D586" w:rsidR="00D5395B" w:rsidRPr="009C5B59" w:rsidRDefault="002955ED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Szegregáció, </w:t>
            </w:r>
            <w:proofErr w:type="spellStart"/>
            <w:r>
              <w:rPr>
                <w:b w:val="0"/>
                <w:sz w:val="22"/>
                <w:szCs w:val="22"/>
              </w:rPr>
              <w:t>deszegregáció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inklúzió</w:t>
            </w:r>
            <w:proofErr w:type="spellEnd"/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5B5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Jellege:</w:t>
            </w:r>
          </w:p>
          <w:p w14:paraId="00B143B6" w14:textId="4EA4FBF8" w:rsidR="00D5395B" w:rsidRPr="009C5B59" w:rsidRDefault="00BD5F56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9C5B59">
              <w:rPr>
                <w:b w:val="0"/>
                <w:sz w:val="22"/>
                <w:szCs w:val="22"/>
              </w:rPr>
              <w:t>K</w:t>
            </w:r>
            <w:r w:rsidR="00E51713" w:rsidRPr="009C5B59">
              <w:rPr>
                <w:b w:val="0"/>
                <w:sz w:val="22"/>
                <w:szCs w:val="22"/>
              </w:rPr>
              <w:t>ötelező</w:t>
            </w:r>
            <w:r>
              <w:rPr>
                <w:b w:val="0"/>
                <w:sz w:val="22"/>
                <w:szCs w:val="22"/>
              </w:rPr>
              <w:t>en választható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03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9C5B59">
              <w:rPr>
                <w:bCs/>
                <w:sz w:val="22"/>
                <w:szCs w:val="22"/>
              </w:rPr>
              <w:t>Kreditek:</w:t>
            </w:r>
          </w:p>
          <w:p w14:paraId="4B7AC8F7" w14:textId="05252951" w:rsidR="00D5395B" w:rsidRPr="009C5B59" w:rsidRDefault="00C36380" w:rsidP="00D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C82D6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Tantárgykód:</w:t>
            </w:r>
          </w:p>
          <w:p w14:paraId="03B41879" w14:textId="7AC4B6F1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WPED</w:t>
            </w:r>
            <w:r w:rsidR="00BD5F56">
              <w:rPr>
                <w:sz w:val="22"/>
                <w:szCs w:val="22"/>
              </w:rPr>
              <w:t>70</w:t>
            </w:r>
            <w:r w:rsidR="002955ED">
              <w:rPr>
                <w:sz w:val="22"/>
                <w:szCs w:val="22"/>
              </w:rPr>
              <w:t>3</w:t>
            </w:r>
          </w:p>
        </w:tc>
      </w:tr>
      <w:tr w:rsidR="00D5395B" w:rsidRPr="009C5B59" w14:paraId="365A591A" w14:textId="77777777" w:rsidTr="00395F25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DACFF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Tantárgyfelelős:</w:t>
            </w:r>
          </w:p>
          <w:p w14:paraId="5AB28C06" w14:textId="77777777" w:rsidR="00D5395B" w:rsidRPr="009C5B59" w:rsidRDefault="002A219A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Tóth Tamás</w:t>
            </w:r>
            <w:r w:rsidR="00E51713" w:rsidRPr="009C5B59">
              <w:rPr>
                <w:sz w:val="22"/>
                <w:szCs w:val="22"/>
              </w:rPr>
              <w:t>, PhD, egy. adjunktus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6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Munkaforma:</w:t>
            </w:r>
          </w:p>
          <w:p w14:paraId="791A6F51" w14:textId="68E65243" w:rsidR="00D5395B" w:rsidRPr="009C5B59" w:rsidRDefault="00F900A3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955ED">
              <w:rPr>
                <w:sz w:val="22"/>
                <w:szCs w:val="22"/>
              </w:rPr>
              <w:t>zeminárium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Óraszám:</w:t>
            </w:r>
          </w:p>
          <w:p w14:paraId="1719083D" w14:textId="77777777" w:rsidR="00D5395B" w:rsidRPr="009C5B59" w:rsidRDefault="00681B41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N: 30</w:t>
            </w:r>
            <w:r w:rsidR="00D5395B" w:rsidRPr="009C5B59">
              <w:rPr>
                <w:sz w:val="22"/>
                <w:szCs w:val="22"/>
              </w:rPr>
              <w:t xml:space="preserve"> / L: </w:t>
            </w:r>
            <w:r w:rsidRPr="009C5B59">
              <w:rPr>
                <w:sz w:val="22"/>
                <w:szCs w:val="22"/>
              </w:rPr>
              <w:t>12</w:t>
            </w:r>
          </w:p>
          <w:p w14:paraId="365DC841" w14:textId="77777777" w:rsidR="00D5395B" w:rsidRPr="009C5B59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83304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Értékelés: </w:t>
            </w:r>
          </w:p>
          <w:p w14:paraId="6F29EC47" w14:textId="723603C1" w:rsidR="00D5395B" w:rsidRPr="009C5B59" w:rsidRDefault="002955ED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</w:tr>
      <w:tr w:rsidR="00D5395B" w:rsidRPr="009C5B59" w14:paraId="659B3122" w14:textId="77777777" w:rsidTr="00395F25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1748" w14:textId="24CB05E1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A tantárgy </w:t>
            </w:r>
            <w:r w:rsidR="00207A23">
              <w:rPr>
                <w:sz w:val="22"/>
                <w:szCs w:val="22"/>
              </w:rPr>
              <w:t xml:space="preserve">oktatásának </w:t>
            </w:r>
            <w:r w:rsidR="00EE7C74">
              <w:rPr>
                <w:sz w:val="22"/>
                <w:szCs w:val="22"/>
              </w:rPr>
              <w:t>célja</w:t>
            </w:r>
            <w:r w:rsidRPr="009C5B59">
              <w:rPr>
                <w:sz w:val="22"/>
                <w:szCs w:val="22"/>
              </w:rPr>
              <w:t xml:space="preserve">: </w:t>
            </w:r>
          </w:p>
          <w:p w14:paraId="52F6EAD1" w14:textId="17B7ED23" w:rsidR="00AC324C" w:rsidRPr="00EA13FB" w:rsidRDefault="00AC324C" w:rsidP="00B1575E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EA13FB">
              <w:rPr>
                <w:sz w:val="20"/>
                <w:szCs w:val="20"/>
              </w:rPr>
              <w:t>A</w:t>
            </w:r>
            <w:r w:rsidR="00B1575E" w:rsidRPr="00EA13FB">
              <w:rPr>
                <w:sz w:val="20"/>
                <w:szCs w:val="20"/>
              </w:rPr>
              <w:t xml:space="preserve"> tárgy célja, hogy </w:t>
            </w:r>
            <w:r w:rsidR="00955D73" w:rsidRPr="00EA13FB">
              <w:rPr>
                <w:sz w:val="20"/>
                <w:szCs w:val="20"/>
              </w:rPr>
              <w:t xml:space="preserve">átfogó </w:t>
            </w:r>
            <w:r w:rsidR="004E14FA" w:rsidRPr="00EA13FB">
              <w:rPr>
                <w:sz w:val="20"/>
                <w:szCs w:val="20"/>
              </w:rPr>
              <w:t xml:space="preserve">filozófiai, </w:t>
            </w:r>
            <w:r w:rsidR="00955D73" w:rsidRPr="00EA13FB">
              <w:rPr>
                <w:sz w:val="20"/>
                <w:szCs w:val="20"/>
              </w:rPr>
              <w:t>szociológiai és pedagógiai betekintést nyújtson a hallgatóknak</w:t>
            </w:r>
            <w:r w:rsidR="004E14FA" w:rsidRPr="00EA13FB">
              <w:rPr>
                <w:sz w:val="20"/>
                <w:szCs w:val="20"/>
              </w:rPr>
              <w:t xml:space="preserve"> a</w:t>
            </w:r>
            <w:r w:rsidR="00284CAC" w:rsidRPr="00EA13FB">
              <w:rPr>
                <w:sz w:val="20"/>
                <w:szCs w:val="20"/>
              </w:rPr>
              <w:t xml:space="preserve"> </w:t>
            </w:r>
            <w:r w:rsidR="004E14FA" w:rsidRPr="00EA13FB">
              <w:rPr>
                <w:sz w:val="20"/>
                <w:szCs w:val="20"/>
              </w:rPr>
              <w:t>szegregáció</w:t>
            </w:r>
            <w:r w:rsidR="00716D46" w:rsidRPr="00EA13FB">
              <w:rPr>
                <w:sz w:val="20"/>
                <w:szCs w:val="20"/>
              </w:rPr>
              <w:t>, szelekció</w:t>
            </w:r>
            <w:r w:rsidR="00DD2576" w:rsidRPr="00EA13FB">
              <w:rPr>
                <w:sz w:val="20"/>
                <w:szCs w:val="20"/>
              </w:rPr>
              <w:t xml:space="preserve"> problémakörébe</w:t>
            </w:r>
            <w:r w:rsidR="004E14FA" w:rsidRPr="00EA13FB">
              <w:rPr>
                <w:sz w:val="20"/>
                <w:szCs w:val="20"/>
              </w:rPr>
              <w:t xml:space="preserve">, valamint az </w:t>
            </w:r>
            <w:proofErr w:type="spellStart"/>
            <w:r w:rsidR="004E14FA" w:rsidRPr="00EA13FB">
              <w:rPr>
                <w:sz w:val="20"/>
                <w:szCs w:val="20"/>
              </w:rPr>
              <w:t>inklúzió</w:t>
            </w:r>
            <w:proofErr w:type="spellEnd"/>
            <w:r w:rsidR="004E14FA" w:rsidRPr="00EA13FB">
              <w:rPr>
                <w:sz w:val="20"/>
                <w:szCs w:val="20"/>
              </w:rPr>
              <w:t xml:space="preserve"> társ</w:t>
            </w:r>
            <w:r w:rsidR="00EA13FB" w:rsidRPr="00EA13FB">
              <w:rPr>
                <w:sz w:val="20"/>
                <w:szCs w:val="20"/>
              </w:rPr>
              <w:t>adalom- és oktatáspolitikájába</w:t>
            </w:r>
            <w:r w:rsidR="004E14FA" w:rsidRPr="00EA13FB">
              <w:rPr>
                <w:sz w:val="20"/>
                <w:szCs w:val="20"/>
              </w:rPr>
              <w:t>. A kurzus során a hallgatók megismerik a témához kapcsolódó eltérő elméleti megközelítéseket (</w:t>
            </w:r>
            <w:r w:rsidR="008B22F7" w:rsidRPr="00EA13FB">
              <w:rPr>
                <w:sz w:val="20"/>
                <w:szCs w:val="20"/>
              </w:rPr>
              <w:t xml:space="preserve">pl. </w:t>
            </w:r>
            <w:r w:rsidR="004E14FA" w:rsidRPr="00EA13FB">
              <w:rPr>
                <w:sz w:val="20"/>
                <w:szCs w:val="20"/>
              </w:rPr>
              <w:t>deficit modell, szegregáció modell, látens diszkrimináció modell</w:t>
            </w:r>
            <w:r w:rsidR="008B22F7" w:rsidRPr="00EA13FB">
              <w:rPr>
                <w:sz w:val="20"/>
                <w:szCs w:val="20"/>
              </w:rPr>
              <w:t>, stb.</w:t>
            </w:r>
            <w:r w:rsidR="004E14FA" w:rsidRPr="00EA13FB">
              <w:rPr>
                <w:sz w:val="20"/>
                <w:szCs w:val="20"/>
              </w:rPr>
              <w:t xml:space="preserve">) és </w:t>
            </w:r>
            <w:r w:rsidR="008B22F7" w:rsidRPr="00EA13FB">
              <w:rPr>
                <w:sz w:val="20"/>
                <w:szCs w:val="20"/>
              </w:rPr>
              <w:t xml:space="preserve">különböző, gyakran egymással szemben álló </w:t>
            </w:r>
            <w:r w:rsidR="004E14FA" w:rsidRPr="00EA13FB">
              <w:rPr>
                <w:sz w:val="20"/>
                <w:szCs w:val="20"/>
              </w:rPr>
              <w:t>konceptuális kereteket (integráció, hátránykompenzáció, emancipáció, szegregáció, szelekció,</w:t>
            </w:r>
            <w:r w:rsidR="00716D46" w:rsidRPr="00EA13FB">
              <w:rPr>
                <w:sz w:val="20"/>
                <w:szCs w:val="20"/>
              </w:rPr>
              <w:t xml:space="preserve"> diszkrimináció,</w:t>
            </w:r>
            <w:r w:rsidR="004E14FA" w:rsidRPr="00EA13FB">
              <w:rPr>
                <w:sz w:val="20"/>
                <w:szCs w:val="20"/>
              </w:rPr>
              <w:t xml:space="preserve"> stb.)</w:t>
            </w:r>
            <w:r w:rsidR="00716D46" w:rsidRPr="00EA13FB">
              <w:rPr>
                <w:sz w:val="20"/>
                <w:szCs w:val="20"/>
              </w:rPr>
              <w:t xml:space="preserve">, valamint átfogó képet kapnak a kurrens oktatáspolitikai és nevelésfilozófia vitákról a </w:t>
            </w:r>
            <w:r w:rsidR="008B22F7" w:rsidRPr="00EA13FB">
              <w:rPr>
                <w:sz w:val="20"/>
                <w:szCs w:val="20"/>
              </w:rPr>
              <w:t>„kint és bent”</w:t>
            </w:r>
            <w:r w:rsidR="00DD2576" w:rsidRPr="00EA13FB">
              <w:rPr>
                <w:sz w:val="20"/>
                <w:szCs w:val="20"/>
              </w:rPr>
              <w:t xml:space="preserve"> </w:t>
            </w:r>
            <w:proofErr w:type="spellStart"/>
            <w:r w:rsidR="00DD2576" w:rsidRPr="00EA13FB">
              <w:rPr>
                <w:sz w:val="20"/>
                <w:szCs w:val="20"/>
              </w:rPr>
              <w:t>paradoxona</w:t>
            </w:r>
            <w:proofErr w:type="spellEnd"/>
            <w:r w:rsidR="00DD2576" w:rsidRPr="00EA13FB">
              <w:rPr>
                <w:sz w:val="20"/>
                <w:szCs w:val="20"/>
              </w:rPr>
              <w:t xml:space="preserve"> (</w:t>
            </w:r>
            <w:proofErr w:type="spellStart"/>
            <w:r w:rsidR="00DD2576" w:rsidRPr="00EA13FB">
              <w:rPr>
                <w:i/>
                <w:sz w:val="20"/>
                <w:szCs w:val="20"/>
              </w:rPr>
              <w:t>inclusion</w:t>
            </w:r>
            <w:proofErr w:type="spellEnd"/>
            <w:r w:rsidR="00DD2576" w:rsidRPr="00EA13FB">
              <w:rPr>
                <w:i/>
                <w:sz w:val="20"/>
                <w:szCs w:val="20"/>
              </w:rPr>
              <w:t xml:space="preserve"> par </w:t>
            </w:r>
            <w:proofErr w:type="spellStart"/>
            <w:r w:rsidR="00DD2576" w:rsidRPr="00EA13FB">
              <w:rPr>
                <w:i/>
                <w:sz w:val="20"/>
                <w:szCs w:val="20"/>
              </w:rPr>
              <w:t>exclusion</w:t>
            </w:r>
            <w:proofErr w:type="spellEnd"/>
            <w:r w:rsidR="00DD2576" w:rsidRPr="00EA13FB">
              <w:rPr>
                <w:sz w:val="20"/>
                <w:szCs w:val="20"/>
              </w:rPr>
              <w:t>)</w:t>
            </w:r>
            <w:r w:rsidR="008B22F7" w:rsidRPr="00EA13FB">
              <w:rPr>
                <w:sz w:val="20"/>
                <w:szCs w:val="20"/>
              </w:rPr>
              <w:t>, az elkülönítés, kirekesztés és befogadás politikai logikái</w:t>
            </w:r>
            <w:r w:rsidR="00716D46" w:rsidRPr="00EA13FB">
              <w:rPr>
                <w:sz w:val="20"/>
                <w:szCs w:val="20"/>
              </w:rPr>
              <w:t xml:space="preserve"> kapcsán. A tárgy célja továbbá, hogy történeti-(geo)politikai perspektívába helyezze a magyar oktatási rendszer nagyfokú szelektivitását és egyenlőtlenségeket újratermelő karakterét. </w:t>
            </w:r>
          </w:p>
        </w:tc>
      </w:tr>
      <w:tr w:rsidR="00D5395B" w:rsidRPr="009C5B59" w14:paraId="28346352" w14:textId="77777777" w:rsidTr="00395F25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157C0" w14:textId="77777777" w:rsidR="00D40A74" w:rsidRDefault="00EE7C74" w:rsidP="00EE7C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Fejlesztendő kompetenciaterületek:</w:t>
            </w:r>
          </w:p>
          <w:p w14:paraId="0AEC598E" w14:textId="55013E1A" w:rsidR="006934B3" w:rsidRPr="00EA13FB" w:rsidRDefault="006934B3" w:rsidP="009C7E78">
            <w:pPr>
              <w:spacing w:after="60"/>
              <w:jc w:val="both"/>
              <w:rPr>
                <w:sz w:val="20"/>
                <w:szCs w:val="20"/>
              </w:rPr>
            </w:pPr>
            <w:r w:rsidRPr="00EA13FB">
              <w:rPr>
                <w:i/>
                <w:sz w:val="20"/>
                <w:szCs w:val="20"/>
              </w:rPr>
              <w:t>Ismeret</w:t>
            </w:r>
            <w:r w:rsidRPr="00EA13FB">
              <w:rPr>
                <w:sz w:val="20"/>
                <w:szCs w:val="20"/>
              </w:rPr>
              <w:t>:</w:t>
            </w:r>
            <w:r w:rsidR="008F0DD4" w:rsidRPr="00EA13FB">
              <w:rPr>
                <w:sz w:val="20"/>
                <w:szCs w:val="20"/>
              </w:rPr>
              <w:t xml:space="preserve"> </w:t>
            </w:r>
            <w:r w:rsidR="008B22F7" w:rsidRPr="00EA13FB">
              <w:rPr>
                <w:sz w:val="20"/>
                <w:szCs w:val="20"/>
              </w:rPr>
              <w:t xml:space="preserve">A hallgató ismeri az oktatási szegregáció főbb mechanizmusait, az ezekhez kapcsolódó fontos hazai kutatásokat, valamint érti az </w:t>
            </w:r>
            <w:proofErr w:type="spellStart"/>
            <w:r w:rsidR="008B22F7" w:rsidRPr="00EA13FB">
              <w:rPr>
                <w:sz w:val="20"/>
                <w:szCs w:val="20"/>
              </w:rPr>
              <w:t>inklúzió</w:t>
            </w:r>
            <w:proofErr w:type="spellEnd"/>
            <w:r w:rsidR="008B22F7" w:rsidRPr="00EA13FB">
              <w:rPr>
                <w:sz w:val="20"/>
                <w:szCs w:val="20"/>
              </w:rPr>
              <w:t xml:space="preserve"> társadalom- és oktatásfilozófiai elképzeléseit. </w:t>
            </w:r>
            <w:r w:rsidRPr="00EA13FB">
              <w:rPr>
                <w:i/>
                <w:sz w:val="20"/>
                <w:szCs w:val="20"/>
              </w:rPr>
              <w:t>Képesség</w:t>
            </w:r>
            <w:r w:rsidRPr="00EA13FB">
              <w:rPr>
                <w:sz w:val="20"/>
                <w:szCs w:val="20"/>
              </w:rPr>
              <w:t xml:space="preserve">: </w:t>
            </w:r>
            <w:r w:rsidR="008B22F7" w:rsidRPr="00EA13FB">
              <w:rPr>
                <w:sz w:val="20"/>
                <w:szCs w:val="20"/>
              </w:rPr>
              <w:t>A hallgató</w:t>
            </w:r>
            <w:r w:rsidR="00DD2576" w:rsidRPr="00EA13FB">
              <w:rPr>
                <w:sz w:val="20"/>
                <w:szCs w:val="20"/>
              </w:rPr>
              <w:t xml:space="preserve"> képes rendszerszinten, strukturális viszonyokat figyelembe véve értelmezni és elemezni a </w:t>
            </w:r>
            <w:proofErr w:type="spellStart"/>
            <w:r w:rsidR="00DD2576" w:rsidRPr="00EA13FB">
              <w:rPr>
                <w:sz w:val="20"/>
                <w:szCs w:val="20"/>
              </w:rPr>
              <w:t>szegregeciót</w:t>
            </w:r>
            <w:proofErr w:type="spellEnd"/>
            <w:r w:rsidR="00DD2576" w:rsidRPr="00EA13FB">
              <w:rPr>
                <w:sz w:val="20"/>
                <w:szCs w:val="20"/>
              </w:rPr>
              <w:t>, a látens diszkriminációt és egyéb kirekesztő logikákat az oktatás területén.</w:t>
            </w:r>
            <w:r w:rsidR="008B22F7" w:rsidRPr="00EA13FB">
              <w:rPr>
                <w:sz w:val="20"/>
                <w:szCs w:val="20"/>
              </w:rPr>
              <w:t xml:space="preserve"> </w:t>
            </w:r>
            <w:r w:rsidRPr="00EA13FB">
              <w:rPr>
                <w:i/>
                <w:sz w:val="20"/>
                <w:szCs w:val="20"/>
              </w:rPr>
              <w:t>Attitűd</w:t>
            </w:r>
            <w:r w:rsidRPr="00EA13FB">
              <w:rPr>
                <w:sz w:val="20"/>
                <w:szCs w:val="20"/>
              </w:rPr>
              <w:t xml:space="preserve">: </w:t>
            </w:r>
            <w:r w:rsidR="007D6D23" w:rsidRPr="00EA13FB">
              <w:rPr>
                <w:sz w:val="20"/>
                <w:szCs w:val="20"/>
              </w:rPr>
              <w:t xml:space="preserve">A hallgató </w:t>
            </w:r>
            <w:r w:rsidR="006D43C9" w:rsidRPr="00EA13FB">
              <w:rPr>
                <w:sz w:val="20"/>
                <w:szCs w:val="20"/>
              </w:rPr>
              <w:t xml:space="preserve">elkötelezett az </w:t>
            </w:r>
            <w:proofErr w:type="spellStart"/>
            <w:r w:rsidR="006D43C9" w:rsidRPr="00EA13FB">
              <w:rPr>
                <w:sz w:val="20"/>
                <w:szCs w:val="20"/>
              </w:rPr>
              <w:t>inklúzió</w:t>
            </w:r>
            <w:proofErr w:type="spellEnd"/>
            <w:r w:rsidR="006D43C9" w:rsidRPr="00EA13FB">
              <w:rPr>
                <w:sz w:val="20"/>
                <w:szCs w:val="20"/>
              </w:rPr>
              <w:t>, az emancipáció és a demokratikus gyakorlatok mellett az oktatás kirekesztő logikái ellenében.</w:t>
            </w:r>
            <w:r w:rsidR="007D6D23" w:rsidRPr="00EA13FB">
              <w:rPr>
                <w:sz w:val="20"/>
                <w:szCs w:val="20"/>
              </w:rPr>
              <w:t xml:space="preserve"> </w:t>
            </w:r>
            <w:r w:rsidRPr="00EA13FB">
              <w:rPr>
                <w:i/>
                <w:sz w:val="20"/>
                <w:szCs w:val="20"/>
              </w:rPr>
              <w:t>Autonómia és felelősségvállalás</w:t>
            </w:r>
            <w:r w:rsidRPr="00EA13FB">
              <w:rPr>
                <w:sz w:val="20"/>
                <w:szCs w:val="20"/>
              </w:rPr>
              <w:t>:</w:t>
            </w:r>
            <w:r w:rsidR="00E60A49" w:rsidRPr="00EA13FB">
              <w:rPr>
                <w:sz w:val="20"/>
                <w:szCs w:val="20"/>
              </w:rPr>
              <w:t xml:space="preserve"> </w:t>
            </w:r>
            <w:r w:rsidR="006D43C9" w:rsidRPr="00EA13FB">
              <w:rPr>
                <w:sz w:val="20"/>
                <w:szCs w:val="20"/>
              </w:rPr>
              <w:t>A hallgató kiáll az oktatásból (és társadalomból) kirekesztettek oldalán, velük szolidaritást vállal és pedag</w:t>
            </w:r>
            <w:r w:rsidR="00367CB0">
              <w:rPr>
                <w:sz w:val="20"/>
                <w:szCs w:val="20"/>
              </w:rPr>
              <w:t xml:space="preserve">ógiai praxisába is beépíti ezt a </w:t>
            </w:r>
            <w:r w:rsidR="006D43C9" w:rsidRPr="00EA13FB">
              <w:rPr>
                <w:sz w:val="20"/>
                <w:szCs w:val="20"/>
              </w:rPr>
              <w:t>hozzáállást.</w:t>
            </w:r>
          </w:p>
        </w:tc>
      </w:tr>
      <w:tr w:rsidR="00D5395B" w:rsidRPr="009C5B59" w14:paraId="362160BA" w14:textId="77777777" w:rsidTr="00395F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6241" w14:textId="77777777" w:rsidR="00285752" w:rsidRPr="00EA5A79" w:rsidRDefault="00285752" w:rsidP="00EA13F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 irodalom:</w:t>
            </w:r>
            <w:r w:rsidRPr="00EA5A79">
              <w:rPr>
                <w:sz w:val="22"/>
                <w:szCs w:val="22"/>
              </w:rPr>
              <w:t xml:space="preserve"> </w:t>
            </w:r>
          </w:p>
          <w:p w14:paraId="4CB18D13" w14:textId="3590227F" w:rsidR="00955D73" w:rsidRPr="0011226A" w:rsidRDefault="009F5594" w:rsidP="00955D73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1226A">
              <w:rPr>
                <w:sz w:val="20"/>
                <w:szCs w:val="20"/>
              </w:rPr>
              <w:t>FEJES</w:t>
            </w:r>
            <w:r w:rsidR="00955D73" w:rsidRPr="0011226A">
              <w:rPr>
                <w:sz w:val="20"/>
                <w:szCs w:val="20"/>
              </w:rPr>
              <w:t xml:space="preserve">, J. B., &amp; </w:t>
            </w:r>
            <w:r w:rsidRPr="0011226A">
              <w:rPr>
                <w:sz w:val="20"/>
                <w:szCs w:val="20"/>
              </w:rPr>
              <w:t>SZŰCS</w:t>
            </w:r>
            <w:r w:rsidR="00955D73" w:rsidRPr="0011226A">
              <w:rPr>
                <w:sz w:val="20"/>
                <w:szCs w:val="20"/>
              </w:rPr>
              <w:t>, N. (</w:t>
            </w:r>
            <w:proofErr w:type="spellStart"/>
            <w:r w:rsidR="00955D73" w:rsidRPr="0011226A">
              <w:rPr>
                <w:sz w:val="20"/>
                <w:szCs w:val="20"/>
              </w:rPr>
              <w:t>Eds</w:t>
            </w:r>
            <w:proofErr w:type="spellEnd"/>
            <w:r w:rsidR="00955D73" w:rsidRPr="0011226A">
              <w:rPr>
                <w:sz w:val="20"/>
                <w:szCs w:val="20"/>
              </w:rPr>
              <w:t xml:space="preserve">.). (2018). </w:t>
            </w:r>
            <w:r w:rsidR="00955D73" w:rsidRPr="0011226A">
              <w:rPr>
                <w:i/>
                <w:iCs/>
                <w:sz w:val="20"/>
                <w:szCs w:val="20"/>
              </w:rPr>
              <w:t xml:space="preserve">Én vétkem: </w:t>
            </w:r>
            <w:proofErr w:type="spellStart"/>
            <w:r w:rsidR="00955D73" w:rsidRPr="0011226A">
              <w:rPr>
                <w:i/>
                <w:iCs/>
                <w:sz w:val="20"/>
                <w:szCs w:val="20"/>
              </w:rPr>
              <w:t>Helyzetkép</w:t>
            </w:r>
            <w:proofErr w:type="spellEnd"/>
            <w:r w:rsidR="00955D73" w:rsidRPr="0011226A">
              <w:rPr>
                <w:i/>
                <w:iCs/>
                <w:sz w:val="20"/>
                <w:szCs w:val="20"/>
              </w:rPr>
              <w:t xml:space="preserve"> az </w:t>
            </w:r>
            <w:proofErr w:type="spellStart"/>
            <w:r w:rsidR="00955D73" w:rsidRPr="0011226A">
              <w:rPr>
                <w:i/>
                <w:iCs/>
                <w:sz w:val="20"/>
                <w:szCs w:val="20"/>
              </w:rPr>
              <w:t>oktatási</w:t>
            </w:r>
            <w:proofErr w:type="spellEnd"/>
            <w:r w:rsidR="00955D73" w:rsidRPr="001122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11226A">
              <w:rPr>
                <w:i/>
                <w:iCs/>
                <w:sz w:val="20"/>
                <w:szCs w:val="20"/>
              </w:rPr>
              <w:t>szegregációról</w:t>
            </w:r>
            <w:proofErr w:type="spellEnd"/>
            <w:r w:rsidR="00955D73" w:rsidRPr="0011226A">
              <w:rPr>
                <w:sz w:val="20"/>
                <w:szCs w:val="20"/>
              </w:rPr>
              <w:t xml:space="preserve">. Szeged: </w:t>
            </w:r>
            <w:proofErr w:type="spellStart"/>
            <w:r w:rsidR="00955D73" w:rsidRPr="0011226A">
              <w:rPr>
                <w:sz w:val="20"/>
                <w:szCs w:val="20"/>
              </w:rPr>
              <w:t>Motivácio</w:t>
            </w:r>
            <w:proofErr w:type="spellEnd"/>
            <w:r w:rsidR="00955D73" w:rsidRPr="0011226A">
              <w:rPr>
                <w:sz w:val="20"/>
                <w:szCs w:val="20"/>
              </w:rPr>
              <w:t xml:space="preserve">́ </w:t>
            </w:r>
            <w:proofErr w:type="spellStart"/>
            <w:r w:rsidR="00955D73" w:rsidRPr="0011226A">
              <w:rPr>
                <w:sz w:val="20"/>
                <w:szCs w:val="20"/>
              </w:rPr>
              <w:t>Oktatási</w:t>
            </w:r>
            <w:proofErr w:type="spellEnd"/>
            <w:r w:rsidR="00955D73" w:rsidRPr="0011226A">
              <w:rPr>
                <w:sz w:val="20"/>
                <w:szCs w:val="20"/>
              </w:rPr>
              <w:t xml:space="preserve"> </w:t>
            </w:r>
            <w:proofErr w:type="spellStart"/>
            <w:r w:rsidR="00955D73" w:rsidRPr="0011226A">
              <w:rPr>
                <w:sz w:val="20"/>
                <w:szCs w:val="20"/>
              </w:rPr>
              <w:t>Egyesület</w:t>
            </w:r>
            <w:proofErr w:type="spellEnd"/>
            <w:r w:rsidR="00955D73" w:rsidRPr="0011226A">
              <w:rPr>
                <w:sz w:val="20"/>
                <w:szCs w:val="20"/>
              </w:rPr>
              <w:t>.</w:t>
            </w:r>
          </w:p>
          <w:p w14:paraId="0FCFAF02" w14:textId="07604CC3" w:rsidR="0008037B" w:rsidRPr="0008037B" w:rsidRDefault="009F5594" w:rsidP="0008037B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08037B">
              <w:rPr>
                <w:sz w:val="20"/>
                <w:szCs w:val="20"/>
              </w:rPr>
              <w:t>HAVAS</w:t>
            </w:r>
            <w:r w:rsidR="0008037B" w:rsidRPr="0008037B">
              <w:rPr>
                <w:sz w:val="20"/>
                <w:szCs w:val="20"/>
              </w:rPr>
              <w:t xml:space="preserve">, G. (2008). </w:t>
            </w:r>
            <w:proofErr w:type="spellStart"/>
            <w:r w:rsidR="0008037B" w:rsidRPr="0008037B">
              <w:rPr>
                <w:sz w:val="20"/>
                <w:szCs w:val="20"/>
              </w:rPr>
              <w:t>Esélyegyenlőség</w:t>
            </w:r>
            <w:proofErr w:type="spellEnd"/>
            <w:r w:rsidR="0008037B" w:rsidRPr="0008037B">
              <w:rPr>
                <w:sz w:val="20"/>
                <w:szCs w:val="20"/>
              </w:rPr>
              <w:t xml:space="preserve">, </w:t>
            </w:r>
            <w:proofErr w:type="spellStart"/>
            <w:r w:rsidR="0008037B" w:rsidRPr="0008037B">
              <w:rPr>
                <w:sz w:val="20"/>
                <w:szCs w:val="20"/>
              </w:rPr>
              <w:t>deszegregácio</w:t>
            </w:r>
            <w:proofErr w:type="spellEnd"/>
            <w:r w:rsidR="0008037B" w:rsidRPr="0008037B">
              <w:rPr>
                <w:sz w:val="20"/>
                <w:szCs w:val="20"/>
              </w:rPr>
              <w:t xml:space="preserve">́. In K. Fazekas, J. </w:t>
            </w:r>
            <w:proofErr w:type="spellStart"/>
            <w:r w:rsidR="0008037B" w:rsidRPr="0008037B">
              <w:rPr>
                <w:sz w:val="20"/>
                <w:szCs w:val="20"/>
              </w:rPr>
              <w:t>Köllo</w:t>
            </w:r>
            <w:proofErr w:type="spellEnd"/>
            <w:r w:rsidR="0008037B" w:rsidRPr="0008037B">
              <w:rPr>
                <w:sz w:val="20"/>
                <w:szCs w:val="20"/>
              </w:rPr>
              <w:t>̋, &amp; J. Varga (</w:t>
            </w:r>
            <w:proofErr w:type="spellStart"/>
            <w:r w:rsidR="0008037B" w:rsidRPr="0008037B">
              <w:rPr>
                <w:sz w:val="20"/>
                <w:szCs w:val="20"/>
              </w:rPr>
              <w:t>Eds</w:t>
            </w:r>
            <w:proofErr w:type="spellEnd"/>
            <w:r w:rsidR="0008037B" w:rsidRPr="0008037B">
              <w:rPr>
                <w:sz w:val="20"/>
                <w:szCs w:val="20"/>
              </w:rPr>
              <w:t xml:space="preserve">.), </w:t>
            </w:r>
            <w:r w:rsidR="0008037B" w:rsidRPr="0008037B">
              <w:rPr>
                <w:i/>
                <w:iCs/>
                <w:sz w:val="20"/>
                <w:szCs w:val="20"/>
              </w:rPr>
              <w:t>Zöld könyv: A magyar közoktatás megújításáért</w:t>
            </w:r>
            <w:r w:rsidR="0008037B" w:rsidRPr="0008037B">
              <w:rPr>
                <w:sz w:val="20"/>
                <w:szCs w:val="20"/>
              </w:rPr>
              <w:t xml:space="preserve"> (pp. 121–138). Budapest: Oktatás és Gyermeksegély Kerekasztal.</w:t>
            </w:r>
          </w:p>
          <w:p w14:paraId="05BE9060" w14:textId="4980982F" w:rsidR="00955D73" w:rsidRPr="00955D73" w:rsidRDefault="009F5594" w:rsidP="00955D73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55D73">
              <w:rPr>
                <w:sz w:val="20"/>
                <w:szCs w:val="20"/>
              </w:rPr>
              <w:t>JANKY</w:t>
            </w:r>
            <w:r w:rsidR="00955D73" w:rsidRPr="00955D73">
              <w:rPr>
                <w:sz w:val="20"/>
                <w:szCs w:val="20"/>
              </w:rPr>
              <w:t xml:space="preserve">, B. (2016). A szegénység újratermelődése: A struktúrától a kultúráig, és vissza. </w:t>
            </w:r>
            <w:r w:rsidR="00955D73" w:rsidRPr="00955D73">
              <w:rPr>
                <w:i/>
                <w:iCs/>
                <w:sz w:val="20"/>
                <w:szCs w:val="20"/>
              </w:rPr>
              <w:t>Socio.Hu</w:t>
            </w:r>
            <w:r w:rsidR="00955D73" w:rsidRPr="00955D73">
              <w:rPr>
                <w:sz w:val="20"/>
                <w:szCs w:val="20"/>
              </w:rPr>
              <w:t xml:space="preserve">, </w:t>
            </w:r>
            <w:r w:rsidR="00955D73" w:rsidRPr="00955D73">
              <w:rPr>
                <w:i/>
                <w:iCs/>
                <w:sz w:val="20"/>
                <w:szCs w:val="20"/>
              </w:rPr>
              <w:t>2</w:t>
            </w:r>
            <w:r w:rsidR="00955D73" w:rsidRPr="00955D73">
              <w:rPr>
                <w:sz w:val="20"/>
                <w:szCs w:val="20"/>
              </w:rPr>
              <w:t xml:space="preserve">, 89–102. </w:t>
            </w:r>
          </w:p>
          <w:p w14:paraId="72427C6C" w14:textId="2E1A9284" w:rsidR="00955D73" w:rsidRPr="00955D73" w:rsidRDefault="009F5594" w:rsidP="00955D73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55D73">
              <w:rPr>
                <w:sz w:val="20"/>
                <w:szCs w:val="20"/>
              </w:rPr>
              <w:t>NAHALKA</w:t>
            </w:r>
            <w:r w:rsidR="00955D73" w:rsidRPr="00955D73">
              <w:rPr>
                <w:sz w:val="20"/>
                <w:szCs w:val="20"/>
              </w:rPr>
              <w:t xml:space="preserve">, I., &amp; </w:t>
            </w:r>
            <w:r w:rsidRPr="00955D73">
              <w:rPr>
                <w:sz w:val="20"/>
                <w:szCs w:val="20"/>
              </w:rPr>
              <w:t>ZEMPLÉNI</w:t>
            </w:r>
            <w:r w:rsidR="00955D73" w:rsidRPr="00955D73">
              <w:rPr>
                <w:sz w:val="20"/>
                <w:szCs w:val="20"/>
              </w:rPr>
              <w:t>, A. (2014). Hogyan hat az iskola/</w:t>
            </w:r>
            <w:proofErr w:type="spellStart"/>
            <w:r w:rsidR="00955D73" w:rsidRPr="00955D73">
              <w:rPr>
                <w:sz w:val="20"/>
                <w:szCs w:val="20"/>
              </w:rPr>
              <w:t>osztály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sz w:val="20"/>
                <w:szCs w:val="20"/>
              </w:rPr>
              <w:t>tanulóinak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sz w:val="20"/>
                <w:szCs w:val="20"/>
              </w:rPr>
              <w:t>heterogén</w:t>
            </w:r>
            <w:proofErr w:type="spellEnd"/>
            <w:r w:rsidR="00955D73" w:rsidRPr="00955D73">
              <w:rPr>
                <w:sz w:val="20"/>
                <w:szCs w:val="20"/>
              </w:rPr>
              <w:t>/</w:t>
            </w:r>
            <w:proofErr w:type="spellStart"/>
            <w:r w:rsidR="00955D73" w:rsidRPr="00955D73">
              <w:rPr>
                <w:sz w:val="20"/>
                <w:szCs w:val="20"/>
              </w:rPr>
              <w:t>homogén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sz w:val="20"/>
                <w:szCs w:val="20"/>
              </w:rPr>
              <w:t>összetétele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 a </w:t>
            </w:r>
            <w:proofErr w:type="spellStart"/>
            <w:r w:rsidR="00955D73" w:rsidRPr="00955D73">
              <w:rPr>
                <w:sz w:val="20"/>
                <w:szCs w:val="20"/>
              </w:rPr>
              <w:t>tanulók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sz w:val="20"/>
                <w:szCs w:val="20"/>
              </w:rPr>
              <w:t>eredményességére</w:t>
            </w:r>
            <w:proofErr w:type="spellEnd"/>
            <w:r w:rsidR="00955D73" w:rsidRPr="00955D73">
              <w:rPr>
                <w:sz w:val="20"/>
                <w:szCs w:val="20"/>
              </w:rPr>
              <w:t xml:space="preserve">. In </w:t>
            </w:r>
            <w:r w:rsidR="00955D73" w:rsidRPr="00955D73">
              <w:rPr>
                <w:i/>
                <w:iCs/>
                <w:sz w:val="20"/>
                <w:szCs w:val="20"/>
              </w:rPr>
              <w:t xml:space="preserve">Hatások és különbségek: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Másodelemzések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a hazai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és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nemzetközi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tanulói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képességmérések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eredményei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 xml:space="preserve"> alapján</w:t>
            </w:r>
            <w:r w:rsidR="00955D73" w:rsidRPr="00955D73">
              <w:rPr>
                <w:sz w:val="20"/>
                <w:szCs w:val="20"/>
              </w:rPr>
              <w:t xml:space="preserve"> (pp. 91–168). Budapest: Oktatási Hivatal.</w:t>
            </w:r>
          </w:p>
          <w:p w14:paraId="2A1C6B07" w14:textId="08177006" w:rsidR="00955D73" w:rsidRPr="00955D73" w:rsidRDefault="009F5594" w:rsidP="00955D73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55D73">
              <w:rPr>
                <w:sz w:val="20"/>
                <w:szCs w:val="20"/>
              </w:rPr>
              <w:t>NAHALKA</w:t>
            </w:r>
            <w:r w:rsidR="00955D73" w:rsidRPr="00955D73">
              <w:rPr>
                <w:sz w:val="20"/>
                <w:szCs w:val="20"/>
              </w:rPr>
              <w:t xml:space="preserve">, I. (2019). Radó esete a brit tudósokkal. </w:t>
            </w:r>
            <w:proofErr w:type="spellStart"/>
            <w:r w:rsidR="00955D73" w:rsidRPr="00955D73">
              <w:rPr>
                <w:i/>
                <w:iCs/>
                <w:sz w:val="20"/>
                <w:szCs w:val="20"/>
              </w:rPr>
              <w:t>Taní</w:t>
            </w:r>
            <w:proofErr w:type="spellEnd"/>
            <w:r w:rsidR="00955D73" w:rsidRPr="00955D73">
              <w:rPr>
                <w:i/>
                <w:iCs/>
                <w:sz w:val="20"/>
                <w:szCs w:val="20"/>
              </w:rPr>
              <w:t>-Tani Online</w:t>
            </w:r>
            <w:r w:rsidR="00955D73" w:rsidRPr="00955D73">
              <w:rPr>
                <w:sz w:val="20"/>
                <w:szCs w:val="20"/>
              </w:rPr>
              <w:t>.</w:t>
            </w:r>
          </w:p>
          <w:p w14:paraId="31F72596" w14:textId="0E32CC46" w:rsidR="00955D73" w:rsidRDefault="009F5594" w:rsidP="00955D73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08037B">
              <w:rPr>
                <w:sz w:val="20"/>
                <w:szCs w:val="20"/>
              </w:rPr>
              <w:t>RÉTHY</w:t>
            </w:r>
            <w:r w:rsidR="00955D73" w:rsidRPr="0008037B">
              <w:rPr>
                <w:sz w:val="20"/>
                <w:szCs w:val="20"/>
              </w:rPr>
              <w:t xml:space="preserve">, E., &amp; </w:t>
            </w:r>
            <w:r w:rsidRPr="0008037B">
              <w:rPr>
                <w:sz w:val="20"/>
                <w:szCs w:val="20"/>
              </w:rPr>
              <w:t>VÁMOS</w:t>
            </w:r>
            <w:r w:rsidR="00955D73" w:rsidRPr="0008037B">
              <w:rPr>
                <w:sz w:val="20"/>
                <w:szCs w:val="20"/>
              </w:rPr>
              <w:t xml:space="preserve">, Á. (2006). </w:t>
            </w:r>
            <w:proofErr w:type="spellStart"/>
            <w:r w:rsidR="00955D73" w:rsidRPr="0008037B">
              <w:rPr>
                <w:i/>
                <w:iCs/>
                <w:sz w:val="20"/>
                <w:szCs w:val="20"/>
              </w:rPr>
              <w:t>Esélyegyenlőtlenség</w:t>
            </w:r>
            <w:proofErr w:type="spellEnd"/>
            <w:r w:rsidR="00955D73" w:rsidRPr="0008037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08037B">
              <w:rPr>
                <w:i/>
                <w:iCs/>
                <w:sz w:val="20"/>
                <w:szCs w:val="20"/>
              </w:rPr>
              <w:t>és</w:t>
            </w:r>
            <w:proofErr w:type="spellEnd"/>
            <w:r w:rsidR="00955D73" w:rsidRPr="0008037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08037B">
              <w:rPr>
                <w:i/>
                <w:iCs/>
                <w:sz w:val="20"/>
                <w:szCs w:val="20"/>
              </w:rPr>
              <w:t>méltányos</w:t>
            </w:r>
            <w:proofErr w:type="spellEnd"/>
            <w:r w:rsidR="00955D73" w:rsidRPr="0008037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5D73" w:rsidRPr="0008037B">
              <w:rPr>
                <w:i/>
                <w:iCs/>
                <w:sz w:val="20"/>
                <w:szCs w:val="20"/>
              </w:rPr>
              <w:t>pedagógia</w:t>
            </w:r>
            <w:proofErr w:type="spellEnd"/>
            <w:r w:rsidR="00955D73" w:rsidRPr="0008037B">
              <w:rPr>
                <w:sz w:val="20"/>
                <w:szCs w:val="20"/>
              </w:rPr>
              <w:t>. Budapest: Bölcsész Konzorcium.</w:t>
            </w:r>
          </w:p>
          <w:p w14:paraId="48AFC3ED" w14:textId="103C1A05" w:rsidR="00681E18" w:rsidRPr="00681E18" w:rsidRDefault="009F5594" w:rsidP="00681E18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55D73">
              <w:rPr>
                <w:sz w:val="20"/>
                <w:szCs w:val="20"/>
              </w:rPr>
              <w:t>TAMÁS</w:t>
            </w:r>
            <w:r>
              <w:rPr>
                <w:sz w:val="20"/>
                <w:szCs w:val="20"/>
              </w:rPr>
              <w:t>, G. M. (2008. Január</w:t>
            </w:r>
            <w:r w:rsidR="00955D73" w:rsidRPr="00955D73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.):</w:t>
            </w:r>
            <w:r w:rsidR="00955D73" w:rsidRPr="00955D73">
              <w:rPr>
                <w:sz w:val="20"/>
                <w:szCs w:val="20"/>
              </w:rPr>
              <w:t xml:space="preserve"> A </w:t>
            </w:r>
            <w:r w:rsidR="007D6D23">
              <w:rPr>
                <w:sz w:val="20"/>
                <w:szCs w:val="20"/>
              </w:rPr>
              <w:t>s</w:t>
            </w:r>
            <w:r w:rsidR="00955D73" w:rsidRPr="00955D73">
              <w:rPr>
                <w:sz w:val="20"/>
                <w:szCs w:val="20"/>
              </w:rPr>
              <w:t xml:space="preserve">zegénységről. </w:t>
            </w:r>
            <w:r w:rsidR="00955D73" w:rsidRPr="00955D73">
              <w:rPr>
                <w:i/>
                <w:iCs/>
                <w:sz w:val="20"/>
                <w:szCs w:val="20"/>
              </w:rPr>
              <w:t>Népszava Online</w:t>
            </w:r>
            <w:r w:rsidR="00955D73" w:rsidRPr="00955D73">
              <w:rPr>
                <w:sz w:val="20"/>
                <w:szCs w:val="20"/>
              </w:rPr>
              <w:t>.</w:t>
            </w:r>
          </w:p>
          <w:p w14:paraId="4A1F1630" w14:textId="54C29A8C" w:rsidR="00285752" w:rsidRPr="0008037B" w:rsidRDefault="00285752" w:rsidP="00EA13F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08037B">
              <w:rPr>
                <w:sz w:val="22"/>
                <w:szCs w:val="22"/>
              </w:rPr>
              <w:t>Ajánlott irodalom:</w:t>
            </w:r>
          </w:p>
          <w:p w14:paraId="1FFC3561" w14:textId="73833380" w:rsidR="00F8340D" w:rsidRPr="00F8340D" w:rsidRDefault="009F5594" w:rsidP="00F8340D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HAVAS</w:t>
            </w:r>
            <w:r w:rsidR="00F8340D">
              <w:rPr>
                <w:sz w:val="20"/>
                <w:szCs w:val="20"/>
              </w:rPr>
              <w:t>,</w:t>
            </w:r>
            <w:r w:rsidR="00F8340D" w:rsidRPr="00F8340D">
              <w:rPr>
                <w:sz w:val="20"/>
                <w:szCs w:val="20"/>
              </w:rPr>
              <w:t xml:space="preserve"> Gábor </w:t>
            </w:r>
            <w:proofErr w:type="spellStart"/>
            <w:r w:rsidR="00F8340D" w:rsidRPr="00F8340D">
              <w:rPr>
                <w:sz w:val="20"/>
                <w:szCs w:val="20"/>
              </w:rPr>
              <w:t>et</w:t>
            </w:r>
            <w:proofErr w:type="spellEnd"/>
            <w:r w:rsidR="00F8340D" w:rsidRPr="00F8340D">
              <w:rPr>
                <w:sz w:val="20"/>
                <w:szCs w:val="20"/>
              </w:rPr>
              <w:t xml:space="preserve"> </w:t>
            </w:r>
            <w:proofErr w:type="spellStart"/>
            <w:r w:rsidR="00F8340D" w:rsidRPr="00F8340D">
              <w:rPr>
                <w:sz w:val="20"/>
                <w:szCs w:val="20"/>
              </w:rPr>
              <w:t>al</w:t>
            </w:r>
            <w:proofErr w:type="spellEnd"/>
            <w:r w:rsidR="00F8340D" w:rsidRPr="00F8340D">
              <w:rPr>
                <w:sz w:val="20"/>
                <w:szCs w:val="20"/>
              </w:rPr>
              <w:t>.</w:t>
            </w:r>
            <w:r w:rsidR="00F8340D">
              <w:rPr>
                <w:sz w:val="20"/>
                <w:szCs w:val="20"/>
              </w:rPr>
              <w:t xml:space="preserve"> (2002).</w:t>
            </w:r>
            <w:r w:rsidR="00F8340D" w:rsidRPr="00F8340D">
              <w:rPr>
                <w:sz w:val="20"/>
                <w:szCs w:val="20"/>
              </w:rPr>
              <w:t xml:space="preserve"> </w:t>
            </w:r>
            <w:r w:rsidR="00F8340D" w:rsidRPr="00F8340D">
              <w:rPr>
                <w:i/>
                <w:sz w:val="20"/>
                <w:szCs w:val="20"/>
              </w:rPr>
              <w:t>Cigány gyerekek az általános iskolában</w:t>
            </w:r>
            <w:r w:rsidR="00F8340D" w:rsidRPr="00F8340D">
              <w:rPr>
                <w:sz w:val="20"/>
                <w:szCs w:val="20"/>
              </w:rPr>
              <w:t xml:space="preserve">. </w:t>
            </w:r>
            <w:r w:rsidR="00F8340D">
              <w:rPr>
                <w:sz w:val="20"/>
                <w:szCs w:val="20"/>
              </w:rPr>
              <w:t xml:space="preserve">Budapest: </w:t>
            </w:r>
            <w:r w:rsidR="00F8340D" w:rsidRPr="00F8340D">
              <w:rPr>
                <w:sz w:val="20"/>
                <w:szCs w:val="20"/>
              </w:rPr>
              <w:t>Oktatáskutató Intézet – Új Mandátum Könyvkiadó.</w:t>
            </w:r>
            <w:r w:rsidR="00F8340D">
              <w:rPr>
                <w:sz w:val="20"/>
                <w:szCs w:val="20"/>
              </w:rPr>
              <w:t xml:space="preserve"> </w:t>
            </w:r>
          </w:p>
          <w:p w14:paraId="69488523" w14:textId="39AB70C1" w:rsidR="00F8340D" w:rsidRPr="008F547C" w:rsidRDefault="009F5594" w:rsidP="00F8340D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KERTESI</w:t>
            </w:r>
            <w:r w:rsidR="00F8340D">
              <w:rPr>
                <w:sz w:val="20"/>
                <w:szCs w:val="20"/>
              </w:rPr>
              <w:t>,</w:t>
            </w:r>
            <w:r w:rsidR="00F8340D" w:rsidRPr="00F8340D">
              <w:rPr>
                <w:sz w:val="20"/>
                <w:szCs w:val="20"/>
              </w:rPr>
              <w:t xml:space="preserve"> Gábor</w:t>
            </w:r>
            <w:r w:rsidR="00F8340D">
              <w:rPr>
                <w:sz w:val="20"/>
                <w:szCs w:val="20"/>
              </w:rPr>
              <w:t xml:space="preserve"> </w:t>
            </w:r>
            <w:r w:rsidR="00F8340D" w:rsidRPr="00EE7C74">
              <w:rPr>
                <w:sz w:val="20"/>
                <w:szCs w:val="20"/>
              </w:rPr>
              <w:t>&amp;</w:t>
            </w:r>
            <w:r w:rsidR="00F83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KÉZDI</w:t>
            </w:r>
            <w:r w:rsidR="00F8340D">
              <w:rPr>
                <w:sz w:val="20"/>
                <w:szCs w:val="20"/>
              </w:rPr>
              <w:t>,</w:t>
            </w:r>
            <w:r w:rsidR="00F8340D" w:rsidRPr="00F8340D">
              <w:rPr>
                <w:sz w:val="20"/>
                <w:szCs w:val="20"/>
              </w:rPr>
              <w:t xml:space="preserve"> Gábor</w:t>
            </w:r>
            <w:r w:rsidR="00F8340D">
              <w:rPr>
                <w:sz w:val="20"/>
                <w:szCs w:val="20"/>
              </w:rPr>
              <w:t xml:space="preserve"> (2005).</w:t>
            </w:r>
            <w:r w:rsidR="00F8340D" w:rsidRPr="00F8340D">
              <w:rPr>
                <w:sz w:val="20"/>
                <w:szCs w:val="20"/>
              </w:rPr>
              <w:t xml:space="preserve"> Általános iskolai szegregáció; okok és következmények. </w:t>
            </w:r>
            <w:r w:rsidR="00F8340D" w:rsidRPr="00F8340D">
              <w:rPr>
                <w:i/>
                <w:sz w:val="20"/>
                <w:szCs w:val="20"/>
              </w:rPr>
              <w:t>Közgazdasági Szemle</w:t>
            </w:r>
            <w:r w:rsidR="00F8340D">
              <w:rPr>
                <w:i/>
                <w:sz w:val="20"/>
                <w:szCs w:val="20"/>
              </w:rPr>
              <w:t>,</w:t>
            </w:r>
            <w:r w:rsidR="00F8340D" w:rsidRPr="00F8340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F8340D" w:rsidRPr="00F8340D">
              <w:rPr>
                <w:i/>
                <w:sz w:val="20"/>
                <w:szCs w:val="20"/>
              </w:rPr>
              <w:t>LII</w:t>
            </w:r>
            <w:r w:rsidR="00F8340D">
              <w:rPr>
                <w:sz w:val="20"/>
                <w:szCs w:val="20"/>
              </w:rPr>
              <w:t>(</w:t>
            </w:r>
            <w:proofErr w:type="gramEnd"/>
            <w:r w:rsidR="00F8340D" w:rsidRPr="00F8340D">
              <w:rPr>
                <w:sz w:val="20"/>
                <w:szCs w:val="20"/>
              </w:rPr>
              <w:t>4</w:t>
            </w:r>
            <w:r w:rsidR="00F8340D">
              <w:rPr>
                <w:sz w:val="20"/>
                <w:szCs w:val="20"/>
              </w:rPr>
              <w:t xml:space="preserve">), 317-355. </w:t>
            </w:r>
          </w:p>
          <w:p w14:paraId="7C8593FE" w14:textId="1429575C" w:rsidR="008F547C" w:rsidRDefault="009F5594" w:rsidP="008F547C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8340D">
              <w:rPr>
                <w:sz w:val="20"/>
                <w:szCs w:val="20"/>
              </w:rPr>
              <w:t>LADÁNYI</w:t>
            </w:r>
            <w:r w:rsidR="008F547C" w:rsidRPr="00F8340D">
              <w:rPr>
                <w:sz w:val="20"/>
                <w:szCs w:val="20"/>
              </w:rPr>
              <w:t xml:space="preserve">, János (2010). </w:t>
            </w:r>
            <w:r w:rsidR="008F547C" w:rsidRPr="00F8340D">
              <w:rPr>
                <w:i/>
                <w:sz w:val="20"/>
                <w:szCs w:val="20"/>
              </w:rPr>
              <w:t>Egyenlőtlenségek, redisztribúció, szociálpolitika. Válogatott tanulmányok</w:t>
            </w:r>
            <w:r w:rsidR="008F547C" w:rsidRPr="00F8340D">
              <w:rPr>
                <w:sz w:val="20"/>
                <w:szCs w:val="20"/>
              </w:rPr>
              <w:t>.  Budapest</w:t>
            </w:r>
            <w:r w:rsidR="008F547C">
              <w:rPr>
                <w:sz w:val="20"/>
                <w:szCs w:val="20"/>
              </w:rPr>
              <w:t xml:space="preserve">: </w:t>
            </w:r>
            <w:r w:rsidR="008F547C" w:rsidRPr="00F8340D">
              <w:rPr>
                <w:sz w:val="20"/>
                <w:szCs w:val="20"/>
              </w:rPr>
              <w:t>Új Mandátum Könyvkiad</w:t>
            </w:r>
            <w:r w:rsidR="008F547C">
              <w:rPr>
                <w:sz w:val="20"/>
                <w:szCs w:val="20"/>
              </w:rPr>
              <w:t>ó</w:t>
            </w:r>
          </w:p>
          <w:p w14:paraId="73BCBAEE" w14:textId="2892A571" w:rsidR="0036567F" w:rsidRPr="00681E18" w:rsidRDefault="009F5594" w:rsidP="00681E18">
            <w:pPr>
              <w:pStyle w:val="Listaszerbekezds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08037B">
              <w:rPr>
                <w:sz w:val="20"/>
                <w:szCs w:val="20"/>
              </w:rPr>
              <w:t>VARGA</w:t>
            </w:r>
            <w:r w:rsidR="00955D73" w:rsidRPr="0008037B">
              <w:rPr>
                <w:sz w:val="20"/>
                <w:szCs w:val="20"/>
              </w:rPr>
              <w:t xml:space="preserve">, A. (2015). </w:t>
            </w:r>
            <w:r w:rsidR="00955D73" w:rsidRPr="0008037B">
              <w:rPr>
                <w:i/>
                <w:iCs/>
                <w:sz w:val="20"/>
                <w:szCs w:val="20"/>
              </w:rPr>
              <w:t xml:space="preserve">Az </w:t>
            </w:r>
            <w:proofErr w:type="spellStart"/>
            <w:r w:rsidR="00955D73" w:rsidRPr="0008037B">
              <w:rPr>
                <w:i/>
                <w:iCs/>
                <w:sz w:val="20"/>
                <w:szCs w:val="20"/>
              </w:rPr>
              <w:t>inklúzió</w:t>
            </w:r>
            <w:proofErr w:type="spellEnd"/>
            <w:r w:rsidR="00955D73" w:rsidRPr="0008037B">
              <w:rPr>
                <w:i/>
                <w:iCs/>
                <w:sz w:val="20"/>
                <w:szCs w:val="20"/>
              </w:rPr>
              <w:t xml:space="preserve"> szemlélete és gyakorlata</w:t>
            </w:r>
            <w:r w:rsidR="00955D73" w:rsidRPr="0008037B">
              <w:rPr>
                <w:sz w:val="20"/>
                <w:szCs w:val="20"/>
              </w:rPr>
              <w:t>. Pécs: Pécsi Tudományegyetem.</w:t>
            </w:r>
          </w:p>
        </w:tc>
      </w:tr>
      <w:tr w:rsidR="00D5395B" w:rsidRPr="009C5B59" w14:paraId="60192174" w14:textId="77777777" w:rsidTr="00395F25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9888122" w14:textId="390783FB" w:rsidR="00D5395B" w:rsidRPr="009C5B59" w:rsidRDefault="00B52394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Kurzustematika</w:t>
            </w:r>
            <w:r w:rsidR="00D5395B" w:rsidRPr="009C5B59">
              <w:rPr>
                <w:sz w:val="22"/>
                <w:szCs w:val="22"/>
              </w:rPr>
              <w:t xml:space="preserve">: </w:t>
            </w:r>
          </w:p>
          <w:p w14:paraId="33686B42" w14:textId="47E7910D" w:rsidR="00681E18" w:rsidRPr="00681E18" w:rsidRDefault="009721A0" w:rsidP="00681E18">
            <w:pPr>
              <w:pStyle w:val="Irodalomjegyzk"/>
              <w:framePr w:hSpace="0" w:wrap="auto" w:vAnchor="margin" w:hAnchor="text" w:xAlign="left" w:yAlign="inline"/>
            </w:pPr>
            <w:r w:rsidRPr="00681E18">
              <w:t xml:space="preserve">A félév során </w:t>
            </w:r>
            <w:r w:rsidR="00681E18" w:rsidRPr="00681E18">
              <w:t>három hazai esettanulmányt vizsgálunk meg.</w:t>
            </w:r>
          </w:p>
          <w:p w14:paraId="5EA7C0F4" w14:textId="394C4DB8" w:rsidR="00D5395B" w:rsidRPr="00681E18" w:rsidRDefault="00D5395B" w:rsidP="00681E18">
            <w:pPr>
              <w:pStyle w:val="Irodalomjegyzk"/>
              <w:framePr w:hSpace="0" w:wrap="auto" w:vAnchor="margin" w:hAnchor="text" w:xAlign="left" w:yAlign="inline"/>
            </w:pPr>
            <w:r w:rsidRPr="00681E18">
              <w:rPr>
                <w:b/>
              </w:rPr>
              <w:t>Követelmények,</w:t>
            </w:r>
            <w:r w:rsidRPr="00681E18">
              <w:t xml:space="preserve"> </w:t>
            </w:r>
            <w:r w:rsidRPr="00681E18">
              <w:rPr>
                <w:b/>
              </w:rPr>
              <w:t>értékelés</w:t>
            </w:r>
            <w:r w:rsidRPr="00681E18">
              <w:t>:</w:t>
            </w:r>
          </w:p>
          <w:p w14:paraId="3E6C6986" w14:textId="142E7170" w:rsidR="009C5B59" w:rsidRPr="009C5B59" w:rsidRDefault="009C5B59" w:rsidP="00681E18">
            <w:pPr>
              <w:pStyle w:val="Irodalomjegyzk"/>
              <w:framePr w:hSpace="0" w:wrap="auto" w:vAnchor="margin" w:hAnchor="text" w:xAlign="left" w:yAlign="inline"/>
            </w:pPr>
            <w:r w:rsidRPr="009C5B59">
              <w:t>A</w:t>
            </w:r>
            <w:r w:rsidR="00E56FBB">
              <w:t>zok a hallgatók, akik</w:t>
            </w:r>
            <w:r w:rsidRPr="009C5B59">
              <w:t xml:space="preserve"> </w:t>
            </w:r>
            <w:r w:rsidR="00E56FBB">
              <w:t>az órák 80%-án részt vettek,</w:t>
            </w:r>
            <w:r w:rsidRPr="009C5B59">
              <w:t xml:space="preserve"> a szemeszter vég</w:t>
            </w:r>
            <w:r w:rsidR="00CB39FF">
              <w:t>én</w:t>
            </w:r>
            <w:r w:rsidRPr="009C5B59">
              <w:t xml:space="preserve"> </w:t>
            </w:r>
            <w:r w:rsidR="00681E18">
              <w:t>leadott manifesztó műfajú dolgozatukra kapnak érdemjegyet.</w:t>
            </w:r>
          </w:p>
        </w:tc>
      </w:tr>
      <w:tr w:rsidR="00D5395B" w:rsidRPr="009C5B59" w14:paraId="1E04399E" w14:textId="77777777" w:rsidTr="00395F25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Kurzus hirdetője:</w:t>
            </w:r>
          </w:p>
          <w:p w14:paraId="155200F7" w14:textId="77777777" w:rsidR="00D5395B" w:rsidRPr="009C5B59" w:rsidRDefault="00D5395B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Félév:</w:t>
            </w:r>
          </w:p>
          <w:p w14:paraId="27A43BEA" w14:textId="5C62D28B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201</w:t>
            </w:r>
            <w:r w:rsidR="00CB5AA1" w:rsidRPr="009C5B59">
              <w:rPr>
                <w:sz w:val="22"/>
                <w:szCs w:val="22"/>
              </w:rPr>
              <w:t>9</w:t>
            </w:r>
            <w:r w:rsidRPr="009C5B59">
              <w:rPr>
                <w:sz w:val="22"/>
                <w:szCs w:val="22"/>
              </w:rPr>
              <w:t>/</w:t>
            </w:r>
            <w:r w:rsidR="00CB5AA1" w:rsidRPr="009C5B59">
              <w:rPr>
                <w:sz w:val="22"/>
                <w:szCs w:val="22"/>
              </w:rPr>
              <w:t>20</w:t>
            </w:r>
            <w:r w:rsidRPr="009C5B59">
              <w:rPr>
                <w:sz w:val="22"/>
                <w:szCs w:val="22"/>
              </w:rPr>
              <w:t xml:space="preserve">. </w:t>
            </w:r>
            <w:r w:rsidR="009F5594">
              <w:rPr>
                <w:sz w:val="22"/>
                <w:szCs w:val="22"/>
              </w:rPr>
              <w:t>tavasz</w:t>
            </w:r>
          </w:p>
          <w:p w14:paraId="629B4FBB" w14:textId="77777777" w:rsidR="00D5395B" w:rsidRPr="009C5B59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Oktató: </w:t>
            </w:r>
          </w:p>
          <w:p w14:paraId="11E87604" w14:textId="77777777" w:rsidR="00D5395B" w:rsidRPr="009C5B59" w:rsidRDefault="00CB5AA1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Tóth Tamás PhD, egy. adjunktus</w:t>
            </w:r>
          </w:p>
        </w:tc>
      </w:tr>
    </w:tbl>
    <w:p w14:paraId="232324C9" w14:textId="77777777" w:rsidR="00B41CA8" w:rsidRPr="009C5B59" w:rsidRDefault="00B41CA8" w:rsidP="00154753">
      <w:pPr>
        <w:rPr>
          <w:sz w:val="22"/>
          <w:szCs w:val="22"/>
        </w:rPr>
      </w:pPr>
    </w:p>
    <w:sectPr w:rsidR="00B41CA8" w:rsidRPr="009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6D34C5B"/>
    <w:multiLevelType w:val="hybridMultilevel"/>
    <w:tmpl w:val="1280223C"/>
    <w:lvl w:ilvl="0" w:tplc="D67E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5" w15:restartNumberingAfterBreak="0">
    <w:nsid w:val="1FA12488"/>
    <w:multiLevelType w:val="hybridMultilevel"/>
    <w:tmpl w:val="F27638E0"/>
    <w:lvl w:ilvl="0" w:tplc="3128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7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F36EC"/>
    <w:multiLevelType w:val="hybridMultilevel"/>
    <w:tmpl w:val="789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5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7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9"/>
  </w:num>
  <w:num w:numId="16">
    <w:abstractNumId w:val="9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7"/>
  </w:num>
  <w:num w:numId="25">
    <w:abstractNumId w:val="22"/>
  </w:num>
  <w:num w:numId="26">
    <w:abstractNumId w:val="18"/>
  </w:num>
  <w:num w:numId="27">
    <w:abstractNumId w:val="15"/>
  </w:num>
  <w:num w:numId="28">
    <w:abstractNumId w:val="3"/>
  </w:num>
  <w:num w:numId="29">
    <w:abstractNumId w:val="21"/>
  </w:num>
  <w:num w:numId="30">
    <w:abstractNumId w:val="8"/>
  </w:num>
  <w:num w:numId="31">
    <w:abstractNumId w:val="13"/>
  </w:num>
  <w:num w:numId="32">
    <w:abstractNumId w:val="1"/>
  </w:num>
  <w:num w:numId="33">
    <w:abstractNumId w:val="5"/>
  </w:num>
  <w:num w:numId="34">
    <w:abstractNumId w:val="12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14275"/>
    <w:rsid w:val="00016A87"/>
    <w:rsid w:val="0002456F"/>
    <w:rsid w:val="000304AF"/>
    <w:rsid w:val="00033528"/>
    <w:rsid w:val="00062FF1"/>
    <w:rsid w:val="00063B3A"/>
    <w:rsid w:val="0008037B"/>
    <w:rsid w:val="000C6117"/>
    <w:rsid w:val="000D7416"/>
    <w:rsid w:val="000F220B"/>
    <w:rsid w:val="000F4241"/>
    <w:rsid w:val="000F6A9A"/>
    <w:rsid w:val="000F7BBE"/>
    <w:rsid w:val="0011226A"/>
    <w:rsid w:val="00123BDC"/>
    <w:rsid w:val="001416D5"/>
    <w:rsid w:val="00154753"/>
    <w:rsid w:val="0017019E"/>
    <w:rsid w:val="00175348"/>
    <w:rsid w:val="001768A1"/>
    <w:rsid w:val="00195E1E"/>
    <w:rsid w:val="001A0F61"/>
    <w:rsid w:val="001A71C3"/>
    <w:rsid w:val="001C7CC3"/>
    <w:rsid w:val="001D55AB"/>
    <w:rsid w:val="001E2585"/>
    <w:rsid w:val="001F4171"/>
    <w:rsid w:val="00207A23"/>
    <w:rsid w:val="00224E96"/>
    <w:rsid w:val="00232FC0"/>
    <w:rsid w:val="00236ED6"/>
    <w:rsid w:val="0025792F"/>
    <w:rsid w:val="00274659"/>
    <w:rsid w:val="00284CAC"/>
    <w:rsid w:val="00285752"/>
    <w:rsid w:val="002955ED"/>
    <w:rsid w:val="002A219A"/>
    <w:rsid w:val="002A2215"/>
    <w:rsid w:val="002F19A3"/>
    <w:rsid w:val="002F68E2"/>
    <w:rsid w:val="003118B3"/>
    <w:rsid w:val="00336D57"/>
    <w:rsid w:val="0036567F"/>
    <w:rsid w:val="00367CB0"/>
    <w:rsid w:val="0038016B"/>
    <w:rsid w:val="00380B91"/>
    <w:rsid w:val="00390CC1"/>
    <w:rsid w:val="00395F25"/>
    <w:rsid w:val="003A334D"/>
    <w:rsid w:val="003E2E64"/>
    <w:rsid w:val="003F1B5C"/>
    <w:rsid w:val="003F2EF0"/>
    <w:rsid w:val="00413962"/>
    <w:rsid w:val="00441338"/>
    <w:rsid w:val="004471C7"/>
    <w:rsid w:val="00465A3A"/>
    <w:rsid w:val="004968B7"/>
    <w:rsid w:val="004A2A21"/>
    <w:rsid w:val="004D358B"/>
    <w:rsid w:val="004E14FA"/>
    <w:rsid w:val="004F4601"/>
    <w:rsid w:val="00506537"/>
    <w:rsid w:val="00554C79"/>
    <w:rsid w:val="0055745D"/>
    <w:rsid w:val="00560436"/>
    <w:rsid w:val="00593F67"/>
    <w:rsid w:val="00596FC6"/>
    <w:rsid w:val="005B521A"/>
    <w:rsid w:val="005B6C9C"/>
    <w:rsid w:val="00605493"/>
    <w:rsid w:val="00610477"/>
    <w:rsid w:val="00615596"/>
    <w:rsid w:val="0062340A"/>
    <w:rsid w:val="00626157"/>
    <w:rsid w:val="00631BA7"/>
    <w:rsid w:val="00653A16"/>
    <w:rsid w:val="00677021"/>
    <w:rsid w:val="006773EE"/>
    <w:rsid w:val="00681B41"/>
    <w:rsid w:val="00681E18"/>
    <w:rsid w:val="00684F1E"/>
    <w:rsid w:val="006934B3"/>
    <w:rsid w:val="006D0D3F"/>
    <w:rsid w:val="006D43C9"/>
    <w:rsid w:val="006F5203"/>
    <w:rsid w:val="006F5F70"/>
    <w:rsid w:val="00707663"/>
    <w:rsid w:val="00716D46"/>
    <w:rsid w:val="00760B11"/>
    <w:rsid w:val="00774FDE"/>
    <w:rsid w:val="00786ED4"/>
    <w:rsid w:val="007B5AF0"/>
    <w:rsid w:val="007C75D5"/>
    <w:rsid w:val="007D6D23"/>
    <w:rsid w:val="007E4D07"/>
    <w:rsid w:val="00801642"/>
    <w:rsid w:val="0081288A"/>
    <w:rsid w:val="008209C3"/>
    <w:rsid w:val="00867C6C"/>
    <w:rsid w:val="0089162C"/>
    <w:rsid w:val="008A09E7"/>
    <w:rsid w:val="008A4AFF"/>
    <w:rsid w:val="008A57B2"/>
    <w:rsid w:val="008A6C41"/>
    <w:rsid w:val="008B22F7"/>
    <w:rsid w:val="008C3F87"/>
    <w:rsid w:val="008D1FE3"/>
    <w:rsid w:val="008F0DD4"/>
    <w:rsid w:val="008F3919"/>
    <w:rsid w:val="008F547C"/>
    <w:rsid w:val="00911610"/>
    <w:rsid w:val="00917C7B"/>
    <w:rsid w:val="00930043"/>
    <w:rsid w:val="00933E2A"/>
    <w:rsid w:val="00941C67"/>
    <w:rsid w:val="00955D73"/>
    <w:rsid w:val="00970310"/>
    <w:rsid w:val="009721A0"/>
    <w:rsid w:val="009736A1"/>
    <w:rsid w:val="0097464E"/>
    <w:rsid w:val="009C06FE"/>
    <w:rsid w:val="009C2D81"/>
    <w:rsid w:val="009C5B59"/>
    <w:rsid w:val="009C7E78"/>
    <w:rsid w:val="009D13F9"/>
    <w:rsid w:val="009D7542"/>
    <w:rsid w:val="009F5594"/>
    <w:rsid w:val="00A018D0"/>
    <w:rsid w:val="00A25AEC"/>
    <w:rsid w:val="00A42A75"/>
    <w:rsid w:val="00A43EA0"/>
    <w:rsid w:val="00A61C22"/>
    <w:rsid w:val="00A71041"/>
    <w:rsid w:val="00AC324C"/>
    <w:rsid w:val="00B1292B"/>
    <w:rsid w:val="00B138DA"/>
    <w:rsid w:val="00B14328"/>
    <w:rsid w:val="00B1575E"/>
    <w:rsid w:val="00B41CA8"/>
    <w:rsid w:val="00B42A6E"/>
    <w:rsid w:val="00B52394"/>
    <w:rsid w:val="00B816D3"/>
    <w:rsid w:val="00BD2CBF"/>
    <w:rsid w:val="00BD5F56"/>
    <w:rsid w:val="00BE704C"/>
    <w:rsid w:val="00C24CD5"/>
    <w:rsid w:val="00C36380"/>
    <w:rsid w:val="00C47BB6"/>
    <w:rsid w:val="00C50D1E"/>
    <w:rsid w:val="00C602B4"/>
    <w:rsid w:val="00C60FD4"/>
    <w:rsid w:val="00C729F4"/>
    <w:rsid w:val="00C90587"/>
    <w:rsid w:val="00CA05A1"/>
    <w:rsid w:val="00CB2F34"/>
    <w:rsid w:val="00CB39FF"/>
    <w:rsid w:val="00CB5AA1"/>
    <w:rsid w:val="00CE3D46"/>
    <w:rsid w:val="00CE5951"/>
    <w:rsid w:val="00D34142"/>
    <w:rsid w:val="00D40A74"/>
    <w:rsid w:val="00D45D19"/>
    <w:rsid w:val="00D52165"/>
    <w:rsid w:val="00D5395B"/>
    <w:rsid w:val="00D5661C"/>
    <w:rsid w:val="00D768F2"/>
    <w:rsid w:val="00D80D3D"/>
    <w:rsid w:val="00D834D9"/>
    <w:rsid w:val="00D90739"/>
    <w:rsid w:val="00D91ED9"/>
    <w:rsid w:val="00D95728"/>
    <w:rsid w:val="00DA7225"/>
    <w:rsid w:val="00DC0F64"/>
    <w:rsid w:val="00DC5E3D"/>
    <w:rsid w:val="00DD2576"/>
    <w:rsid w:val="00DD4220"/>
    <w:rsid w:val="00DE6D7E"/>
    <w:rsid w:val="00DF08A7"/>
    <w:rsid w:val="00E31B80"/>
    <w:rsid w:val="00E34669"/>
    <w:rsid w:val="00E410E4"/>
    <w:rsid w:val="00E51713"/>
    <w:rsid w:val="00E56FBB"/>
    <w:rsid w:val="00E60A49"/>
    <w:rsid w:val="00E821E8"/>
    <w:rsid w:val="00EA13FB"/>
    <w:rsid w:val="00EA217D"/>
    <w:rsid w:val="00EA5A79"/>
    <w:rsid w:val="00EE2CEB"/>
    <w:rsid w:val="00EE7C74"/>
    <w:rsid w:val="00F103E7"/>
    <w:rsid w:val="00F21A1C"/>
    <w:rsid w:val="00F405E3"/>
    <w:rsid w:val="00F430C4"/>
    <w:rsid w:val="00F448CF"/>
    <w:rsid w:val="00F66683"/>
    <w:rsid w:val="00F75AE3"/>
    <w:rsid w:val="00F76CE9"/>
    <w:rsid w:val="00F8340D"/>
    <w:rsid w:val="00F900A3"/>
    <w:rsid w:val="00F9214D"/>
    <w:rsid w:val="00FA04B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681E18"/>
    <w:pPr>
      <w:keepLines/>
      <w:framePr w:hSpace="141" w:wrap="around" w:vAnchor="page" w:hAnchor="margin" w:xAlign="center" w:y="1201"/>
      <w:spacing w:before="60" w:after="60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768F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D76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2020-01-23T10:37:00Z</dcterms:created>
  <dcterms:modified xsi:type="dcterms:W3CDTF">2020-01-23T10:37:00Z</dcterms:modified>
</cp:coreProperties>
</file>