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01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364"/>
        <w:gridCol w:w="1670"/>
        <w:gridCol w:w="2098"/>
      </w:tblGrid>
      <w:tr w:rsidR="00D5395B" w:rsidRPr="009C5B59" w14:paraId="2F1B8D6F" w14:textId="77777777" w:rsidTr="00395F25">
        <w:trPr>
          <w:cantSplit/>
          <w:trHeight w:val="567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A748E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 neve:</w:t>
            </w:r>
          </w:p>
          <w:p w14:paraId="035662BA" w14:textId="5F030AD1" w:rsidR="00D5395B" w:rsidRPr="009C5B59" w:rsidRDefault="00891B18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bookmarkStart w:id="0" w:name="_GoBack"/>
            <w:r>
              <w:rPr>
                <w:b w:val="0"/>
                <w:sz w:val="22"/>
                <w:szCs w:val="22"/>
              </w:rPr>
              <w:t>Komplex intézményfejlesztés</w:t>
            </w:r>
            <w:bookmarkEnd w:id="0"/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5B5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Jellege:</w:t>
            </w:r>
          </w:p>
          <w:p w14:paraId="00B143B6" w14:textId="1D149600" w:rsidR="00D5395B" w:rsidRPr="009C5B59" w:rsidRDefault="00BD5F56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9C5B59">
              <w:rPr>
                <w:b w:val="0"/>
                <w:sz w:val="22"/>
                <w:szCs w:val="22"/>
              </w:rPr>
              <w:t>K</w:t>
            </w:r>
            <w:r w:rsidR="00E51713" w:rsidRPr="009C5B59">
              <w:rPr>
                <w:b w:val="0"/>
                <w:sz w:val="22"/>
                <w:szCs w:val="22"/>
              </w:rPr>
              <w:t>ötelező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E03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  <w:r w:rsidRPr="009C5B59">
              <w:rPr>
                <w:bCs/>
                <w:sz w:val="22"/>
                <w:szCs w:val="22"/>
              </w:rPr>
              <w:t>Kreditek:</w:t>
            </w:r>
          </w:p>
          <w:p w14:paraId="4B7AC8F7" w14:textId="7AB8207A" w:rsidR="00D5395B" w:rsidRPr="009C5B59" w:rsidRDefault="001942FB" w:rsidP="00D53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C82D6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Tantárgykód:</w:t>
            </w:r>
          </w:p>
          <w:p w14:paraId="03B41879" w14:textId="062A674E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WPED</w:t>
            </w:r>
            <w:r w:rsidR="00891B18">
              <w:rPr>
                <w:sz w:val="22"/>
                <w:szCs w:val="22"/>
              </w:rPr>
              <w:t>O104</w:t>
            </w:r>
          </w:p>
        </w:tc>
      </w:tr>
      <w:tr w:rsidR="00D5395B" w:rsidRPr="009C5B59" w14:paraId="365A591A" w14:textId="77777777" w:rsidTr="00395F25">
        <w:trPr>
          <w:trHeight w:val="705"/>
        </w:trPr>
        <w:tc>
          <w:tcPr>
            <w:tcW w:w="19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DACFF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Tantárgyfelelős:</w:t>
            </w:r>
          </w:p>
          <w:p w14:paraId="5AB28C06" w14:textId="77777777" w:rsidR="00D5395B" w:rsidRPr="009C5B59" w:rsidRDefault="002A219A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Tóth Tamás</w:t>
            </w:r>
            <w:r w:rsidR="00E51713" w:rsidRPr="009C5B59">
              <w:rPr>
                <w:sz w:val="22"/>
                <w:szCs w:val="22"/>
              </w:rPr>
              <w:t>, PhD, egy. adjunktus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6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Munkaforma:</w:t>
            </w:r>
          </w:p>
          <w:p w14:paraId="791A6F51" w14:textId="0AD938EF" w:rsidR="00D5395B" w:rsidRPr="009C5B59" w:rsidRDefault="00891B18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Szeminárium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8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Óraszám:</w:t>
            </w:r>
          </w:p>
          <w:p w14:paraId="1719083D" w14:textId="77777777" w:rsidR="00D5395B" w:rsidRPr="009C5B59" w:rsidRDefault="00681B41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N: 30</w:t>
            </w:r>
            <w:r w:rsidR="00D5395B" w:rsidRPr="009C5B59">
              <w:rPr>
                <w:sz w:val="22"/>
                <w:szCs w:val="22"/>
              </w:rPr>
              <w:t xml:space="preserve"> / L: </w:t>
            </w:r>
            <w:r w:rsidRPr="009C5B59">
              <w:rPr>
                <w:sz w:val="22"/>
                <w:szCs w:val="22"/>
              </w:rPr>
              <w:t>12</w:t>
            </w:r>
          </w:p>
          <w:p w14:paraId="365DC841" w14:textId="77777777" w:rsidR="00D5395B" w:rsidRPr="009C5B59" w:rsidRDefault="00D5395B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83304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Értékelés: </w:t>
            </w:r>
          </w:p>
          <w:p w14:paraId="6F29EC47" w14:textId="7B77A5EC" w:rsidR="00D5395B" w:rsidRPr="009C5B59" w:rsidRDefault="00891B18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</w:tr>
      <w:tr w:rsidR="00D5395B" w:rsidRPr="009C5B59" w14:paraId="659B3122" w14:textId="77777777" w:rsidTr="00395F25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91748" w14:textId="24CB05E1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A tantárgy </w:t>
            </w:r>
            <w:r w:rsidR="00207A23">
              <w:rPr>
                <w:sz w:val="22"/>
                <w:szCs w:val="22"/>
              </w:rPr>
              <w:t xml:space="preserve">oktatásának </w:t>
            </w:r>
            <w:r w:rsidR="00EE7C74">
              <w:rPr>
                <w:sz w:val="22"/>
                <w:szCs w:val="22"/>
              </w:rPr>
              <w:t>célja</w:t>
            </w:r>
            <w:r w:rsidRPr="009C5B59">
              <w:rPr>
                <w:sz w:val="22"/>
                <w:szCs w:val="22"/>
              </w:rPr>
              <w:t xml:space="preserve">: </w:t>
            </w:r>
          </w:p>
          <w:p w14:paraId="52F6EAD1" w14:textId="46089B49" w:rsidR="00AC324C" w:rsidRPr="00EE7C74" w:rsidRDefault="00891B18" w:rsidP="00891B18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891B18">
              <w:rPr>
                <w:sz w:val="22"/>
                <w:szCs w:val="22"/>
              </w:rPr>
              <w:t>A</w:t>
            </w:r>
            <w:r w:rsidR="006F2917">
              <w:rPr>
                <w:sz w:val="22"/>
                <w:szCs w:val="22"/>
              </w:rPr>
              <w:t xml:space="preserve"> kurzus célja, hogy bevezesse a hallgatókat abba az oktatáspolitikai</w:t>
            </w:r>
            <w:r w:rsidRPr="00891B18">
              <w:rPr>
                <w:sz w:val="22"/>
                <w:szCs w:val="22"/>
              </w:rPr>
              <w:t xml:space="preserve"> </w:t>
            </w:r>
            <w:r w:rsidR="006F2917">
              <w:rPr>
                <w:sz w:val="22"/>
                <w:szCs w:val="22"/>
              </w:rPr>
              <w:t xml:space="preserve">trendbe, ami </w:t>
            </w:r>
            <w:r w:rsidR="00BE12EE">
              <w:rPr>
                <w:sz w:val="22"/>
                <w:szCs w:val="22"/>
              </w:rPr>
              <w:t xml:space="preserve">a fejlesztések középpontjába már nem az </w:t>
            </w:r>
            <w:r w:rsidRPr="00891B18">
              <w:rPr>
                <w:sz w:val="22"/>
                <w:szCs w:val="22"/>
              </w:rPr>
              <w:t>osztálytermi tevékenységeket, hanem az intézmények, mint szervezetek működésének stratégiai, innovációs folyamatait állítj</w:t>
            </w:r>
            <w:r w:rsidR="00BE12EE">
              <w:rPr>
                <w:sz w:val="22"/>
                <w:szCs w:val="22"/>
              </w:rPr>
              <w:t>a</w:t>
            </w:r>
            <w:r w:rsidRPr="00891B18">
              <w:rPr>
                <w:sz w:val="22"/>
                <w:szCs w:val="22"/>
              </w:rPr>
              <w:t>.</w:t>
            </w:r>
            <w:r w:rsidR="00BE12EE">
              <w:rPr>
                <w:sz w:val="22"/>
                <w:szCs w:val="22"/>
              </w:rPr>
              <w:t xml:space="preserve"> A kurzus során a hallgatók megismerkednek</w:t>
            </w:r>
            <w:r w:rsidR="00EF0969">
              <w:rPr>
                <w:sz w:val="22"/>
                <w:szCs w:val="22"/>
              </w:rPr>
              <w:t xml:space="preserve"> az intézményfejlesztésről való strukturált gondolkodás megalapozásához nélkülözhetetlen </w:t>
            </w:r>
            <w:proofErr w:type="spellStart"/>
            <w:r w:rsidR="00EF0969">
              <w:rPr>
                <w:sz w:val="22"/>
                <w:szCs w:val="22"/>
              </w:rPr>
              <w:t>mainstream</w:t>
            </w:r>
            <w:proofErr w:type="spellEnd"/>
            <w:r w:rsidR="00EF0969">
              <w:rPr>
                <w:sz w:val="22"/>
                <w:szCs w:val="22"/>
              </w:rPr>
              <w:t xml:space="preserve"> fogalmakkal (az iskola mint szervezet, szervezeti kultúra és klíma, tanuló és tudásintenzív szervezeti megközelítések, szervezeti modellek, hálózatosodás, tudásmegosztás, stb.), melyek segítenek </w:t>
            </w:r>
            <w:r w:rsidRPr="00891B18">
              <w:rPr>
                <w:sz w:val="22"/>
                <w:szCs w:val="22"/>
              </w:rPr>
              <w:t>komplex módon értelmez</w:t>
            </w:r>
            <w:r w:rsidR="00EF0969">
              <w:rPr>
                <w:sz w:val="22"/>
                <w:szCs w:val="22"/>
              </w:rPr>
              <w:t>ni</w:t>
            </w:r>
            <w:r w:rsidRPr="00891B18">
              <w:rPr>
                <w:sz w:val="22"/>
                <w:szCs w:val="22"/>
              </w:rPr>
              <w:t>, elemez</w:t>
            </w:r>
            <w:r w:rsidR="00EF0969">
              <w:rPr>
                <w:sz w:val="22"/>
                <w:szCs w:val="22"/>
              </w:rPr>
              <w:t>ni</w:t>
            </w:r>
            <w:r w:rsidRPr="00891B18">
              <w:rPr>
                <w:sz w:val="22"/>
                <w:szCs w:val="22"/>
              </w:rPr>
              <w:t>, rendszerez</w:t>
            </w:r>
            <w:r w:rsidR="00EF0969">
              <w:rPr>
                <w:sz w:val="22"/>
                <w:szCs w:val="22"/>
              </w:rPr>
              <w:t>ni</w:t>
            </w:r>
            <w:r w:rsidRPr="00891B18">
              <w:rPr>
                <w:sz w:val="22"/>
                <w:szCs w:val="22"/>
              </w:rPr>
              <w:t xml:space="preserve"> azokat a társadalmi, gazdasági</w:t>
            </w:r>
            <w:r w:rsidR="001942FB">
              <w:rPr>
                <w:sz w:val="22"/>
                <w:szCs w:val="22"/>
              </w:rPr>
              <w:t>,</w:t>
            </w:r>
            <w:r w:rsidRPr="00891B18">
              <w:rPr>
                <w:sz w:val="22"/>
                <w:szCs w:val="22"/>
              </w:rPr>
              <w:t xml:space="preserve"> szakmai folyamatokat, amelyek az </w:t>
            </w:r>
            <w:r w:rsidR="00EF0969">
              <w:rPr>
                <w:sz w:val="22"/>
                <w:szCs w:val="22"/>
              </w:rPr>
              <w:t xml:space="preserve">oktatási </w:t>
            </w:r>
            <w:r w:rsidRPr="00891B18">
              <w:rPr>
                <w:sz w:val="22"/>
                <w:szCs w:val="22"/>
              </w:rPr>
              <w:t>intézmény</w:t>
            </w:r>
            <w:r w:rsidR="00EF0969">
              <w:rPr>
                <w:sz w:val="22"/>
                <w:szCs w:val="22"/>
              </w:rPr>
              <w:t>ek</w:t>
            </w:r>
            <w:r w:rsidRPr="00891B18">
              <w:rPr>
                <w:sz w:val="22"/>
                <w:szCs w:val="22"/>
              </w:rPr>
              <w:t xml:space="preserve"> feladatköreit alakítják a változó közoktatási rendszerben. </w:t>
            </w:r>
            <w:r w:rsidR="00EF0969">
              <w:rPr>
                <w:sz w:val="22"/>
                <w:szCs w:val="22"/>
              </w:rPr>
              <w:t xml:space="preserve">A kurzus célja mindemellett az is, hogy e kurrens szervezetfejlesztési diskurzusnak a kritikai olvasatára is felhívja a figyelmet, bemutatva annak menedzseri-vállalkozói szemléletű meghatározottságát, politikai </w:t>
            </w:r>
            <w:proofErr w:type="spellStart"/>
            <w:r w:rsidR="00EF0969">
              <w:rPr>
                <w:sz w:val="22"/>
                <w:szCs w:val="22"/>
              </w:rPr>
              <w:t>neutralizmusát</w:t>
            </w:r>
            <w:proofErr w:type="spellEnd"/>
            <w:r w:rsidR="00EF0969">
              <w:rPr>
                <w:sz w:val="22"/>
                <w:szCs w:val="22"/>
              </w:rPr>
              <w:t xml:space="preserve"> és hatalmi rendszerek</w:t>
            </w:r>
            <w:r w:rsidR="001942FB">
              <w:rPr>
                <w:sz w:val="22"/>
                <w:szCs w:val="22"/>
              </w:rPr>
              <w:t>b</w:t>
            </w:r>
            <w:r w:rsidR="00EF0969">
              <w:rPr>
                <w:sz w:val="22"/>
                <w:szCs w:val="22"/>
              </w:rPr>
              <w:t xml:space="preserve">e ágyazottságának láthatatlan, reflektálatlan dimenzióit. Ennek érdekében a kurzus során a hallgatók megismerkednek a </w:t>
            </w:r>
            <w:proofErr w:type="spellStart"/>
            <w:r w:rsidR="00EF0969">
              <w:rPr>
                <w:sz w:val="22"/>
                <w:szCs w:val="22"/>
              </w:rPr>
              <w:t>mainstream</w:t>
            </w:r>
            <w:proofErr w:type="spellEnd"/>
            <w:r w:rsidR="00EF0969">
              <w:rPr>
                <w:sz w:val="22"/>
                <w:szCs w:val="22"/>
              </w:rPr>
              <w:t xml:space="preserve"> intézmény- és szervezetfejlesztési diskurzust megkérdőjelező konceptuális mezővel, valamint annak alapfogalmaival (apparátus, diszpozitívum, horizontális szinergia, </w:t>
            </w:r>
            <w:proofErr w:type="spellStart"/>
            <w:r w:rsidR="00EF0969">
              <w:rPr>
                <w:sz w:val="22"/>
                <w:szCs w:val="22"/>
              </w:rPr>
              <w:t>részvételiség</w:t>
            </w:r>
            <w:proofErr w:type="spellEnd"/>
            <w:r w:rsidR="00EF0969">
              <w:rPr>
                <w:sz w:val="22"/>
                <w:szCs w:val="22"/>
              </w:rPr>
              <w:t>, gyakorlati közösségek és a gyakorlat közösségei).</w:t>
            </w:r>
          </w:p>
        </w:tc>
      </w:tr>
      <w:tr w:rsidR="00D5395B" w:rsidRPr="009C5B59" w14:paraId="28346352" w14:textId="77777777" w:rsidTr="00395F25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157C0" w14:textId="77777777" w:rsidR="00D40A74" w:rsidRDefault="00EE7C74" w:rsidP="00EE7C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Fejlesztendő kompetenciaterületek:</w:t>
            </w:r>
          </w:p>
          <w:p w14:paraId="0AEC598E" w14:textId="18287A6F" w:rsidR="006934B3" w:rsidRPr="0089792D" w:rsidRDefault="004020D1" w:rsidP="00891B18">
            <w:pPr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Ismeret: </w:t>
            </w:r>
            <w:r w:rsidR="00891B18" w:rsidRPr="004020D1">
              <w:rPr>
                <w:sz w:val="22"/>
                <w:szCs w:val="22"/>
              </w:rPr>
              <w:t>A hallgató</w:t>
            </w:r>
            <w:r w:rsidRPr="004020D1">
              <w:rPr>
                <w:sz w:val="22"/>
                <w:szCs w:val="22"/>
              </w:rPr>
              <w:t xml:space="preserve"> </w:t>
            </w:r>
            <w:r w:rsidR="00891B18" w:rsidRPr="004020D1">
              <w:rPr>
                <w:sz w:val="22"/>
                <w:szCs w:val="22"/>
              </w:rPr>
              <w:t>ismeri a</w:t>
            </w:r>
            <w:r>
              <w:rPr>
                <w:sz w:val="22"/>
                <w:szCs w:val="22"/>
              </w:rPr>
              <w:t>z</w:t>
            </w:r>
            <w:r w:rsidR="00891B18" w:rsidRPr="00402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intézmény- és szervezetfejlesztés</w:t>
            </w:r>
            <w:r w:rsidR="00891B18" w:rsidRPr="004020D1">
              <w:rPr>
                <w:sz w:val="22"/>
                <w:szCs w:val="22"/>
              </w:rPr>
              <w:t xml:space="preserve"> alapvető fogalmi rendszerét</w:t>
            </w:r>
            <w:r>
              <w:rPr>
                <w:sz w:val="22"/>
                <w:szCs w:val="22"/>
              </w:rPr>
              <w:t xml:space="preserve"> az oktatás területén</w:t>
            </w:r>
            <w:r w:rsidR="00891B18" w:rsidRPr="004020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ismeri</w:t>
            </w:r>
            <w:r w:rsidR="00891B18" w:rsidRPr="004020D1">
              <w:rPr>
                <w:sz w:val="22"/>
                <w:szCs w:val="22"/>
              </w:rPr>
              <w:t xml:space="preserve"> a szervezeti modelleket,</w:t>
            </w:r>
            <w:r w:rsidRPr="004020D1">
              <w:rPr>
                <w:sz w:val="22"/>
                <w:szCs w:val="22"/>
              </w:rPr>
              <w:t xml:space="preserve"> </w:t>
            </w:r>
            <w:r w:rsidR="00891B18" w:rsidRPr="004020D1">
              <w:rPr>
                <w:sz w:val="22"/>
                <w:szCs w:val="22"/>
              </w:rPr>
              <w:t>érti az intézményfejlesztés</w:t>
            </w:r>
            <w:r>
              <w:rPr>
                <w:sz w:val="22"/>
                <w:szCs w:val="22"/>
              </w:rPr>
              <w:t xml:space="preserve">, </w:t>
            </w:r>
            <w:r w:rsidR="00891B18" w:rsidRPr="004020D1">
              <w:rPr>
                <w:sz w:val="22"/>
                <w:szCs w:val="22"/>
              </w:rPr>
              <w:t xml:space="preserve">szervezeti innováció nemzetközi és hazai trendjeit, </w:t>
            </w:r>
            <w:r w:rsidRPr="004020D1">
              <w:rPr>
                <w:sz w:val="22"/>
                <w:szCs w:val="22"/>
              </w:rPr>
              <w:t xml:space="preserve">és azok kritikáját. </w:t>
            </w:r>
            <w:r w:rsidR="00891B18" w:rsidRPr="00891B18">
              <w:rPr>
                <w:i/>
                <w:sz w:val="22"/>
                <w:szCs w:val="22"/>
              </w:rPr>
              <w:t>Képesség</w:t>
            </w:r>
            <w:r>
              <w:rPr>
                <w:i/>
                <w:sz w:val="22"/>
                <w:szCs w:val="22"/>
              </w:rPr>
              <w:t xml:space="preserve">: </w:t>
            </w:r>
            <w:r w:rsidR="00891B18" w:rsidRPr="004020D1">
              <w:rPr>
                <w:sz w:val="22"/>
                <w:szCs w:val="22"/>
              </w:rPr>
              <w:t>A hallgató</w:t>
            </w:r>
            <w:r w:rsidRPr="004020D1">
              <w:rPr>
                <w:sz w:val="22"/>
                <w:szCs w:val="22"/>
              </w:rPr>
              <w:t xml:space="preserve"> </w:t>
            </w:r>
            <w:r w:rsidR="00891B18" w:rsidRPr="004020D1">
              <w:rPr>
                <w:sz w:val="22"/>
                <w:szCs w:val="22"/>
              </w:rPr>
              <w:t>képes az oktatási intézmények működésének</w:t>
            </w:r>
            <w:r w:rsidRPr="004020D1">
              <w:rPr>
                <w:sz w:val="22"/>
                <w:szCs w:val="22"/>
              </w:rPr>
              <w:t xml:space="preserve"> és a hozzájuk kapcsolódó fejlesztési folyamatok</w:t>
            </w:r>
            <w:r w:rsidR="00891B18" w:rsidRPr="00402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komplex</w:t>
            </w:r>
            <w:r w:rsidR="00891B18" w:rsidRPr="004020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kritikai </w:t>
            </w:r>
            <w:r w:rsidR="00891B18" w:rsidRPr="004020D1">
              <w:rPr>
                <w:sz w:val="22"/>
                <w:szCs w:val="22"/>
              </w:rPr>
              <w:t>elemzésére, értékelésére</w:t>
            </w:r>
            <w:r w:rsidRPr="00402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91B18" w:rsidRPr="00891B18">
              <w:rPr>
                <w:i/>
                <w:sz w:val="22"/>
                <w:szCs w:val="22"/>
              </w:rPr>
              <w:t>Attitűd</w:t>
            </w:r>
            <w:r>
              <w:rPr>
                <w:i/>
                <w:sz w:val="22"/>
                <w:szCs w:val="22"/>
              </w:rPr>
              <w:t xml:space="preserve">: </w:t>
            </w:r>
            <w:r w:rsidR="00891B18" w:rsidRPr="0089792D">
              <w:rPr>
                <w:sz w:val="22"/>
                <w:szCs w:val="22"/>
              </w:rPr>
              <w:t>A hallgató</w:t>
            </w:r>
            <w:r w:rsidRPr="0089792D">
              <w:rPr>
                <w:sz w:val="22"/>
                <w:szCs w:val="22"/>
              </w:rPr>
              <w:t xml:space="preserve"> </w:t>
            </w:r>
            <w:r w:rsidR="0089792D" w:rsidRPr="0089792D">
              <w:rPr>
                <w:sz w:val="22"/>
                <w:szCs w:val="22"/>
              </w:rPr>
              <w:t>az iskola komplex szervezeti rendszerként, közösségként és a társadalmi kontextusba beágyazott apparátusként való értelmezését preferálja</w:t>
            </w:r>
            <w:r w:rsidR="0089792D">
              <w:rPr>
                <w:sz w:val="22"/>
                <w:szCs w:val="22"/>
              </w:rPr>
              <w:t xml:space="preserve">, elkötelezett a horizontális, részvételi, demokratikus fejlesztési folyamatok mellett. </w:t>
            </w:r>
            <w:r w:rsidR="0089792D" w:rsidRPr="0089792D">
              <w:rPr>
                <w:i/>
                <w:sz w:val="22"/>
                <w:szCs w:val="22"/>
              </w:rPr>
              <w:t>Autonómia</w:t>
            </w:r>
            <w:r w:rsidR="0089792D">
              <w:rPr>
                <w:sz w:val="22"/>
                <w:szCs w:val="22"/>
              </w:rPr>
              <w:t xml:space="preserve">: A hallgató </w:t>
            </w:r>
            <w:r w:rsidR="00891B18" w:rsidRPr="0089792D">
              <w:rPr>
                <w:sz w:val="22"/>
                <w:szCs w:val="22"/>
              </w:rPr>
              <w:t>elkötelezett munkájának folyamatos önelemzése, reflektálása iránt; törekszik a folyamatos tartalmi és módszertani megújulásra</w:t>
            </w:r>
            <w:r w:rsidR="0089792D" w:rsidRPr="0089792D">
              <w:rPr>
                <w:sz w:val="22"/>
                <w:szCs w:val="22"/>
              </w:rPr>
              <w:t>.</w:t>
            </w:r>
          </w:p>
        </w:tc>
      </w:tr>
      <w:tr w:rsidR="00D5395B" w:rsidRPr="009C5B59" w14:paraId="362160BA" w14:textId="77777777" w:rsidTr="00395F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16241" w14:textId="77777777" w:rsidR="00285752" w:rsidRPr="00EA5A79" w:rsidRDefault="00285752" w:rsidP="001942F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Kötelező irodalom:</w:t>
            </w:r>
            <w:r w:rsidRPr="00EA5A79">
              <w:rPr>
                <w:sz w:val="22"/>
                <w:szCs w:val="22"/>
              </w:rPr>
              <w:t xml:space="preserve"> </w:t>
            </w:r>
          </w:p>
          <w:p w14:paraId="4DC84CE9" w14:textId="6B64C3AD" w:rsidR="00F46593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1430">
              <w:rPr>
                <w:sz w:val="20"/>
                <w:szCs w:val="20"/>
              </w:rPr>
              <w:t>AGAMBEN</w:t>
            </w:r>
            <w:r w:rsidR="00F46593" w:rsidRPr="00C01430">
              <w:rPr>
                <w:sz w:val="20"/>
                <w:szCs w:val="20"/>
              </w:rPr>
              <w:t xml:space="preserve">, G. (2009). </w:t>
            </w:r>
            <w:proofErr w:type="spellStart"/>
            <w:r w:rsidR="00F46593" w:rsidRPr="00C01430">
              <w:rPr>
                <w:i/>
                <w:sz w:val="20"/>
                <w:szCs w:val="20"/>
              </w:rPr>
              <w:t>What</w:t>
            </w:r>
            <w:proofErr w:type="spellEnd"/>
            <w:r w:rsidR="00F46593" w:rsidRPr="00C01430">
              <w:rPr>
                <w:i/>
                <w:sz w:val="20"/>
                <w:szCs w:val="20"/>
              </w:rPr>
              <w:t xml:space="preserve"> is an </w:t>
            </w:r>
            <w:proofErr w:type="spellStart"/>
            <w:r w:rsidR="00F46593" w:rsidRPr="00C01430">
              <w:rPr>
                <w:i/>
                <w:sz w:val="20"/>
                <w:szCs w:val="20"/>
              </w:rPr>
              <w:t>Apparatus</w:t>
            </w:r>
            <w:proofErr w:type="spellEnd"/>
            <w:r w:rsidR="00F46593" w:rsidRPr="00C01430">
              <w:rPr>
                <w:i/>
                <w:sz w:val="20"/>
                <w:szCs w:val="20"/>
              </w:rPr>
              <w:t>?</w:t>
            </w:r>
            <w:r w:rsidR="00F46593" w:rsidRPr="00C01430">
              <w:rPr>
                <w:sz w:val="20"/>
                <w:szCs w:val="20"/>
              </w:rPr>
              <w:t xml:space="preserve"> Stanford: Stanford University Press.</w:t>
            </w:r>
          </w:p>
          <w:p w14:paraId="3B050ECB" w14:textId="26CDA71D" w:rsidR="00F46593" w:rsidRPr="00C01430" w:rsidRDefault="00F46593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1430">
              <w:rPr>
                <w:sz w:val="20"/>
                <w:szCs w:val="20"/>
              </w:rPr>
              <w:t xml:space="preserve">Buda, M., &amp; </w:t>
            </w:r>
            <w:r w:rsidR="00202780" w:rsidRPr="00C01430">
              <w:rPr>
                <w:sz w:val="20"/>
                <w:szCs w:val="20"/>
              </w:rPr>
              <w:t>PÉTER</w:t>
            </w:r>
            <w:r w:rsidRPr="00C01430">
              <w:rPr>
                <w:sz w:val="20"/>
                <w:szCs w:val="20"/>
              </w:rPr>
              <w:t>-</w:t>
            </w:r>
            <w:r w:rsidR="00202780" w:rsidRPr="00C01430">
              <w:rPr>
                <w:sz w:val="20"/>
                <w:szCs w:val="20"/>
              </w:rPr>
              <w:t>SZARKA</w:t>
            </w:r>
            <w:r w:rsidRPr="00C01430">
              <w:rPr>
                <w:sz w:val="20"/>
                <w:szCs w:val="20"/>
              </w:rPr>
              <w:t xml:space="preserve">, S. (2015). A </w:t>
            </w:r>
            <w:proofErr w:type="spellStart"/>
            <w:r w:rsidRPr="00C01430">
              <w:rPr>
                <w:sz w:val="20"/>
                <w:szCs w:val="20"/>
              </w:rPr>
              <w:t>kreatív</w:t>
            </w:r>
            <w:proofErr w:type="spellEnd"/>
            <w:r w:rsidRPr="00C01430">
              <w:rPr>
                <w:sz w:val="20"/>
                <w:szCs w:val="20"/>
              </w:rPr>
              <w:t xml:space="preserve"> </w:t>
            </w:r>
            <w:proofErr w:type="spellStart"/>
            <w:r w:rsidRPr="00C01430">
              <w:rPr>
                <w:sz w:val="20"/>
                <w:szCs w:val="20"/>
              </w:rPr>
              <w:t>klíma</w:t>
            </w:r>
            <w:proofErr w:type="spellEnd"/>
            <w:r w:rsidRPr="00C01430">
              <w:rPr>
                <w:sz w:val="20"/>
                <w:szCs w:val="20"/>
              </w:rPr>
              <w:t xml:space="preserve">: </w:t>
            </w:r>
            <w:proofErr w:type="spellStart"/>
            <w:r w:rsidRPr="00C01430">
              <w:rPr>
                <w:sz w:val="20"/>
                <w:szCs w:val="20"/>
              </w:rPr>
              <w:t>Új</w:t>
            </w:r>
            <w:proofErr w:type="spellEnd"/>
            <w:r w:rsidRPr="00C01430">
              <w:rPr>
                <w:sz w:val="20"/>
                <w:szCs w:val="20"/>
              </w:rPr>
              <w:t xml:space="preserve"> </w:t>
            </w:r>
            <w:proofErr w:type="spellStart"/>
            <w:r w:rsidRPr="00C01430">
              <w:rPr>
                <w:sz w:val="20"/>
                <w:szCs w:val="20"/>
              </w:rPr>
              <w:t>irány</w:t>
            </w:r>
            <w:proofErr w:type="spellEnd"/>
            <w:r w:rsidRPr="00C01430">
              <w:rPr>
                <w:sz w:val="20"/>
                <w:szCs w:val="20"/>
              </w:rPr>
              <w:t xml:space="preserve"> az iskolai </w:t>
            </w:r>
            <w:proofErr w:type="spellStart"/>
            <w:r w:rsidRPr="00C01430">
              <w:rPr>
                <w:sz w:val="20"/>
                <w:szCs w:val="20"/>
              </w:rPr>
              <w:t>klíma</w:t>
            </w:r>
            <w:proofErr w:type="spellEnd"/>
            <w:r w:rsidRPr="00C01430">
              <w:rPr>
                <w:sz w:val="20"/>
                <w:szCs w:val="20"/>
              </w:rPr>
              <w:t xml:space="preserve"> </w:t>
            </w:r>
            <w:proofErr w:type="spellStart"/>
            <w:r w:rsidRPr="00C01430">
              <w:rPr>
                <w:sz w:val="20"/>
                <w:szCs w:val="20"/>
              </w:rPr>
              <w:t>és</w:t>
            </w:r>
            <w:proofErr w:type="spellEnd"/>
            <w:r w:rsidRPr="00C01430">
              <w:rPr>
                <w:sz w:val="20"/>
                <w:szCs w:val="20"/>
              </w:rPr>
              <w:t xml:space="preserve"> a </w:t>
            </w:r>
            <w:proofErr w:type="spellStart"/>
            <w:r w:rsidRPr="00C01430">
              <w:rPr>
                <w:sz w:val="20"/>
                <w:szCs w:val="20"/>
              </w:rPr>
              <w:t>konfliktuskezelés</w:t>
            </w:r>
            <w:proofErr w:type="spellEnd"/>
            <w:r w:rsidRPr="00C01430">
              <w:rPr>
                <w:sz w:val="20"/>
                <w:szCs w:val="20"/>
              </w:rPr>
              <w:t xml:space="preserve"> </w:t>
            </w:r>
            <w:proofErr w:type="spellStart"/>
            <w:r w:rsidRPr="00C01430">
              <w:rPr>
                <w:sz w:val="20"/>
                <w:szCs w:val="20"/>
              </w:rPr>
              <w:t>kutatásában</w:t>
            </w:r>
            <w:proofErr w:type="spellEnd"/>
            <w:r w:rsidRPr="00C01430">
              <w:rPr>
                <w:sz w:val="20"/>
                <w:szCs w:val="20"/>
              </w:rPr>
              <w:t xml:space="preserve">. </w:t>
            </w:r>
            <w:r w:rsidRPr="00C01430">
              <w:rPr>
                <w:i/>
                <w:iCs/>
                <w:sz w:val="20"/>
                <w:szCs w:val="20"/>
              </w:rPr>
              <w:t>Iskolakultúra</w:t>
            </w:r>
            <w:r w:rsidRPr="00C01430">
              <w:rPr>
                <w:sz w:val="20"/>
                <w:szCs w:val="20"/>
              </w:rPr>
              <w:t xml:space="preserve">, </w:t>
            </w:r>
            <w:r w:rsidRPr="00C01430">
              <w:rPr>
                <w:i/>
                <w:iCs/>
                <w:sz w:val="20"/>
                <w:szCs w:val="20"/>
              </w:rPr>
              <w:t>25</w:t>
            </w:r>
            <w:r w:rsidRPr="00C01430">
              <w:rPr>
                <w:sz w:val="20"/>
                <w:szCs w:val="20"/>
              </w:rPr>
              <w:t>(9), 3–17.</w:t>
            </w:r>
          </w:p>
          <w:p w14:paraId="4F26F524" w14:textId="6C51A686" w:rsidR="00F46593" w:rsidRPr="00F46593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46593">
              <w:rPr>
                <w:sz w:val="20"/>
                <w:szCs w:val="20"/>
              </w:rPr>
              <w:t>DOMSCHITZ</w:t>
            </w:r>
            <w:r w:rsidR="00F46593">
              <w:rPr>
                <w:sz w:val="20"/>
                <w:szCs w:val="20"/>
              </w:rPr>
              <w:t>,</w:t>
            </w:r>
            <w:r w:rsidR="00F46593" w:rsidRPr="00F46593">
              <w:rPr>
                <w:sz w:val="20"/>
                <w:szCs w:val="20"/>
              </w:rPr>
              <w:t xml:space="preserve"> </w:t>
            </w:r>
            <w:r w:rsidR="00F46593">
              <w:rPr>
                <w:sz w:val="20"/>
                <w:szCs w:val="20"/>
              </w:rPr>
              <w:t>M.,</w:t>
            </w:r>
            <w:r w:rsidR="00F46593" w:rsidRPr="00C01430">
              <w:rPr>
                <w:sz w:val="20"/>
                <w:szCs w:val="20"/>
              </w:rPr>
              <w:t xml:space="preserve"> &amp; </w:t>
            </w:r>
            <w:r w:rsidRPr="00F46593">
              <w:rPr>
                <w:sz w:val="20"/>
                <w:szCs w:val="20"/>
              </w:rPr>
              <w:t>RUZSA</w:t>
            </w:r>
            <w:r w:rsidR="00F46593">
              <w:rPr>
                <w:sz w:val="20"/>
                <w:szCs w:val="20"/>
              </w:rPr>
              <w:t>,</w:t>
            </w:r>
            <w:r w:rsidR="00F46593" w:rsidRPr="00F46593">
              <w:rPr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sz w:val="20"/>
                <w:szCs w:val="20"/>
              </w:rPr>
              <w:t>Ágota</w:t>
            </w:r>
            <w:proofErr w:type="spellEnd"/>
            <w:r w:rsidR="00F46593" w:rsidRPr="00F46593">
              <w:rPr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sz w:val="20"/>
                <w:szCs w:val="20"/>
              </w:rPr>
              <w:t>Éva</w:t>
            </w:r>
            <w:proofErr w:type="spellEnd"/>
            <w:r w:rsidR="00F46593" w:rsidRPr="00F46593">
              <w:rPr>
                <w:sz w:val="20"/>
                <w:szCs w:val="20"/>
              </w:rPr>
              <w:t xml:space="preserve"> </w:t>
            </w:r>
            <w:r w:rsidR="00F46593">
              <w:rPr>
                <w:sz w:val="20"/>
                <w:szCs w:val="20"/>
              </w:rPr>
              <w:t xml:space="preserve">(2013). </w:t>
            </w:r>
            <w:r w:rsidR="00F46593" w:rsidRPr="00F46593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F46593" w:rsidRPr="00F46593">
              <w:rPr>
                <w:i/>
                <w:sz w:val="20"/>
                <w:szCs w:val="20"/>
              </w:rPr>
              <w:t>szervezetfejlesztés</w:t>
            </w:r>
            <w:proofErr w:type="spellEnd"/>
            <w:r w:rsidR="00F46593" w:rsidRPr="00F465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i/>
                <w:sz w:val="20"/>
                <w:szCs w:val="20"/>
              </w:rPr>
              <w:t>és</w:t>
            </w:r>
            <w:proofErr w:type="spellEnd"/>
            <w:r w:rsidR="00F46593" w:rsidRPr="00F4659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F46593" w:rsidRPr="00F46593">
              <w:rPr>
                <w:i/>
                <w:sz w:val="20"/>
                <w:szCs w:val="20"/>
              </w:rPr>
              <w:t>tanulo</w:t>
            </w:r>
            <w:proofErr w:type="spellEnd"/>
            <w:r w:rsidR="00F46593" w:rsidRPr="00F46593">
              <w:rPr>
                <w:i/>
                <w:sz w:val="20"/>
                <w:szCs w:val="20"/>
              </w:rPr>
              <w:t>́ szervezetek</w:t>
            </w:r>
            <w:r w:rsidR="00F46593">
              <w:rPr>
                <w:sz w:val="20"/>
                <w:szCs w:val="20"/>
              </w:rPr>
              <w:t>.</w:t>
            </w:r>
          </w:p>
          <w:p w14:paraId="2B50D5CD" w14:textId="1F828FDE" w:rsidR="00BC0F0F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C0F0F">
              <w:rPr>
                <w:sz w:val="20"/>
                <w:szCs w:val="20"/>
              </w:rPr>
              <w:t>GOLNHOFER</w:t>
            </w:r>
            <w:r w:rsidR="00BC0F0F" w:rsidRPr="00BC0F0F">
              <w:rPr>
                <w:sz w:val="20"/>
                <w:szCs w:val="20"/>
              </w:rPr>
              <w:t xml:space="preserve">, E. (2006). Szervezeti kultúra. In </w:t>
            </w:r>
            <w:proofErr w:type="spellStart"/>
            <w:r w:rsidR="00BC0F0F" w:rsidRPr="00BC0F0F">
              <w:rPr>
                <w:sz w:val="20"/>
                <w:szCs w:val="20"/>
              </w:rPr>
              <w:t>Erzsébet</w:t>
            </w:r>
            <w:proofErr w:type="spellEnd"/>
            <w:r w:rsidR="00BC0F0F" w:rsidRPr="00BC0F0F">
              <w:rPr>
                <w:sz w:val="20"/>
                <w:szCs w:val="20"/>
              </w:rPr>
              <w:t xml:space="preserve"> </w:t>
            </w:r>
            <w:proofErr w:type="spellStart"/>
            <w:r w:rsidR="00BC0F0F" w:rsidRPr="00BC0F0F">
              <w:rPr>
                <w:sz w:val="20"/>
                <w:szCs w:val="20"/>
              </w:rPr>
              <w:t>Golnhofer</w:t>
            </w:r>
            <w:proofErr w:type="spellEnd"/>
            <w:r w:rsidR="00BC0F0F" w:rsidRPr="00BC0F0F">
              <w:rPr>
                <w:sz w:val="20"/>
                <w:szCs w:val="20"/>
              </w:rPr>
              <w:t xml:space="preserve"> (</w:t>
            </w:r>
            <w:proofErr w:type="spellStart"/>
            <w:r w:rsidR="00BC0F0F" w:rsidRPr="00BC0F0F">
              <w:rPr>
                <w:sz w:val="20"/>
                <w:szCs w:val="20"/>
              </w:rPr>
              <w:t>Ed</w:t>
            </w:r>
            <w:proofErr w:type="spellEnd"/>
            <w:r w:rsidR="00BC0F0F" w:rsidRPr="00BC0F0F">
              <w:rPr>
                <w:sz w:val="20"/>
                <w:szCs w:val="20"/>
              </w:rPr>
              <w:t xml:space="preserve">.), </w:t>
            </w:r>
            <w:r w:rsidR="00BC0F0F" w:rsidRPr="00BC0F0F">
              <w:rPr>
                <w:i/>
                <w:iCs/>
                <w:sz w:val="20"/>
                <w:szCs w:val="20"/>
              </w:rPr>
              <w:t xml:space="preserve">Az </w:t>
            </w:r>
            <w:proofErr w:type="spellStart"/>
            <w:r w:rsidR="00BC0F0F" w:rsidRPr="00BC0F0F">
              <w:rPr>
                <w:i/>
                <w:iCs/>
                <w:sz w:val="20"/>
                <w:szCs w:val="20"/>
              </w:rPr>
              <w:t>iskolák</w:t>
            </w:r>
            <w:proofErr w:type="spellEnd"/>
            <w:r w:rsidR="00BC0F0F" w:rsidRPr="00BC0F0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C0F0F" w:rsidRPr="00BC0F0F">
              <w:rPr>
                <w:i/>
                <w:iCs/>
                <w:sz w:val="20"/>
                <w:szCs w:val="20"/>
              </w:rPr>
              <w:t>belso</w:t>
            </w:r>
            <w:proofErr w:type="spellEnd"/>
            <w:r w:rsidR="00BC0F0F" w:rsidRPr="00BC0F0F">
              <w:rPr>
                <w:i/>
                <w:iCs/>
                <w:sz w:val="20"/>
                <w:szCs w:val="20"/>
              </w:rPr>
              <w:t xml:space="preserve">̋ </w:t>
            </w:r>
            <w:proofErr w:type="spellStart"/>
            <w:r w:rsidR="00BC0F0F" w:rsidRPr="00BC0F0F">
              <w:rPr>
                <w:i/>
                <w:iCs/>
                <w:sz w:val="20"/>
                <w:szCs w:val="20"/>
              </w:rPr>
              <w:t>világa</w:t>
            </w:r>
            <w:proofErr w:type="spellEnd"/>
            <w:r w:rsidR="00BC0F0F" w:rsidRPr="00BC0F0F">
              <w:rPr>
                <w:sz w:val="20"/>
                <w:szCs w:val="20"/>
              </w:rPr>
              <w:t xml:space="preserve"> (pp. 40–47). Budapest: Bölcsész Konzorcium.</w:t>
            </w:r>
          </w:p>
          <w:p w14:paraId="64619950" w14:textId="20F48D6D" w:rsidR="00F46593" w:rsidRDefault="00C0143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1430">
              <w:rPr>
                <w:rFonts w:ascii="Courier New" w:hAnsi="Courier New" w:cs="Courier New"/>
                <w:sz w:val="20"/>
                <w:szCs w:val="20"/>
              </w:rPr>
              <w:t>﻿</w:t>
            </w:r>
            <w:r w:rsidR="00202780" w:rsidRPr="00BC0F0F">
              <w:rPr>
                <w:sz w:val="20"/>
                <w:szCs w:val="20"/>
              </w:rPr>
              <w:t>OLLÉ</w:t>
            </w:r>
            <w:r w:rsidR="00F46593" w:rsidRPr="00BC0F0F">
              <w:rPr>
                <w:sz w:val="20"/>
                <w:szCs w:val="20"/>
              </w:rPr>
              <w:t xml:space="preserve">, J. (2006). Az </w:t>
            </w:r>
            <w:proofErr w:type="gramStart"/>
            <w:r w:rsidR="00F46593" w:rsidRPr="00BC0F0F">
              <w:rPr>
                <w:sz w:val="20"/>
                <w:szCs w:val="20"/>
              </w:rPr>
              <w:t>iskola</w:t>
            </w:r>
            <w:proofErr w:type="gramEnd"/>
            <w:r w:rsidR="00F46593" w:rsidRPr="00BC0F0F">
              <w:rPr>
                <w:sz w:val="20"/>
                <w:szCs w:val="20"/>
              </w:rPr>
              <w:t xml:space="preserve"> mint szervezet. In E. </w:t>
            </w:r>
            <w:proofErr w:type="spellStart"/>
            <w:r w:rsidR="00F46593" w:rsidRPr="00BC0F0F">
              <w:rPr>
                <w:sz w:val="20"/>
                <w:szCs w:val="20"/>
              </w:rPr>
              <w:t>Golnhofer</w:t>
            </w:r>
            <w:proofErr w:type="spellEnd"/>
            <w:r w:rsidR="00F46593" w:rsidRPr="00BC0F0F">
              <w:rPr>
                <w:sz w:val="20"/>
                <w:szCs w:val="20"/>
              </w:rPr>
              <w:t xml:space="preserve"> (</w:t>
            </w:r>
            <w:proofErr w:type="spellStart"/>
            <w:r w:rsidR="00F46593" w:rsidRPr="00BC0F0F">
              <w:rPr>
                <w:sz w:val="20"/>
                <w:szCs w:val="20"/>
              </w:rPr>
              <w:t>Ed</w:t>
            </w:r>
            <w:proofErr w:type="spellEnd"/>
            <w:r w:rsidR="00F46593" w:rsidRPr="00BC0F0F">
              <w:rPr>
                <w:sz w:val="20"/>
                <w:szCs w:val="20"/>
              </w:rPr>
              <w:t xml:space="preserve">.), </w:t>
            </w:r>
            <w:r w:rsidR="00F46593" w:rsidRPr="00BC0F0F">
              <w:rPr>
                <w:i/>
                <w:iCs/>
                <w:sz w:val="20"/>
                <w:szCs w:val="20"/>
              </w:rPr>
              <w:t xml:space="preserve">Az </w:t>
            </w:r>
            <w:proofErr w:type="spellStart"/>
            <w:r w:rsidR="00F46593" w:rsidRPr="00BC0F0F">
              <w:rPr>
                <w:i/>
                <w:iCs/>
                <w:sz w:val="20"/>
                <w:szCs w:val="20"/>
              </w:rPr>
              <w:t>iskolák</w:t>
            </w:r>
            <w:proofErr w:type="spellEnd"/>
            <w:r w:rsidR="00F46593" w:rsidRPr="00BC0F0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6593" w:rsidRPr="00BC0F0F">
              <w:rPr>
                <w:i/>
                <w:iCs/>
                <w:sz w:val="20"/>
                <w:szCs w:val="20"/>
              </w:rPr>
              <w:t>belso</w:t>
            </w:r>
            <w:proofErr w:type="spellEnd"/>
            <w:r w:rsidR="00F46593" w:rsidRPr="00BC0F0F">
              <w:rPr>
                <w:i/>
                <w:iCs/>
                <w:sz w:val="20"/>
                <w:szCs w:val="20"/>
              </w:rPr>
              <w:t xml:space="preserve">̋ </w:t>
            </w:r>
            <w:proofErr w:type="spellStart"/>
            <w:r w:rsidR="00F46593" w:rsidRPr="00BC0F0F">
              <w:rPr>
                <w:i/>
                <w:iCs/>
                <w:sz w:val="20"/>
                <w:szCs w:val="20"/>
              </w:rPr>
              <w:t>világa</w:t>
            </w:r>
            <w:proofErr w:type="spellEnd"/>
            <w:r w:rsidR="00F46593" w:rsidRPr="00BC0F0F">
              <w:rPr>
                <w:sz w:val="20"/>
                <w:szCs w:val="20"/>
              </w:rPr>
              <w:t xml:space="preserve"> (pp. 13–28). Budapest: Bölcsész Konzorcium.</w:t>
            </w:r>
          </w:p>
          <w:p w14:paraId="3ACB288A" w14:textId="66B6BA69" w:rsidR="00C01430" w:rsidRPr="00C01430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1430">
              <w:rPr>
                <w:sz w:val="20"/>
                <w:szCs w:val="20"/>
              </w:rPr>
              <w:t>SZÉLL</w:t>
            </w:r>
            <w:r w:rsidR="00C01430" w:rsidRPr="00C01430">
              <w:rPr>
                <w:sz w:val="20"/>
                <w:szCs w:val="20"/>
              </w:rPr>
              <w:t xml:space="preserve">, K. (2016). Iskolai </w:t>
            </w:r>
            <w:proofErr w:type="spellStart"/>
            <w:r w:rsidR="00C01430" w:rsidRPr="00C01430">
              <w:rPr>
                <w:sz w:val="20"/>
                <w:szCs w:val="20"/>
              </w:rPr>
              <w:t>légkör</w:t>
            </w:r>
            <w:proofErr w:type="spellEnd"/>
            <w:r w:rsidR="00C01430" w:rsidRPr="00C01430">
              <w:rPr>
                <w:sz w:val="20"/>
                <w:szCs w:val="20"/>
              </w:rPr>
              <w:t xml:space="preserve"> </w:t>
            </w:r>
            <w:proofErr w:type="spellStart"/>
            <w:r w:rsidR="00C01430" w:rsidRPr="00C01430">
              <w:rPr>
                <w:sz w:val="20"/>
                <w:szCs w:val="20"/>
              </w:rPr>
              <w:t>és</w:t>
            </w:r>
            <w:proofErr w:type="spellEnd"/>
            <w:r w:rsidR="00C01430" w:rsidRPr="00C01430">
              <w:rPr>
                <w:sz w:val="20"/>
                <w:szCs w:val="20"/>
              </w:rPr>
              <w:t xml:space="preserve"> </w:t>
            </w:r>
            <w:proofErr w:type="spellStart"/>
            <w:r w:rsidR="00C01430" w:rsidRPr="00C01430">
              <w:rPr>
                <w:sz w:val="20"/>
                <w:szCs w:val="20"/>
              </w:rPr>
              <w:t>eredményesség</w:t>
            </w:r>
            <w:proofErr w:type="spellEnd"/>
            <w:r w:rsidR="00C01430" w:rsidRPr="00C01430">
              <w:rPr>
                <w:sz w:val="20"/>
                <w:szCs w:val="20"/>
              </w:rPr>
              <w:t xml:space="preserve">. In M. </w:t>
            </w:r>
            <w:proofErr w:type="spellStart"/>
            <w:r w:rsidR="00C01430" w:rsidRPr="00C01430">
              <w:rPr>
                <w:sz w:val="20"/>
                <w:szCs w:val="20"/>
              </w:rPr>
              <w:t>Szemerszki</w:t>
            </w:r>
            <w:proofErr w:type="spellEnd"/>
            <w:r w:rsidR="00C01430" w:rsidRPr="00C01430">
              <w:rPr>
                <w:sz w:val="20"/>
                <w:szCs w:val="20"/>
              </w:rPr>
              <w:t xml:space="preserve"> (</w:t>
            </w:r>
            <w:proofErr w:type="spellStart"/>
            <w:r w:rsidR="00C01430" w:rsidRPr="00C01430">
              <w:rPr>
                <w:sz w:val="20"/>
                <w:szCs w:val="20"/>
              </w:rPr>
              <w:t>Ed</w:t>
            </w:r>
            <w:proofErr w:type="spellEnd"/>
            <w:r w:rsidR="00C01430" w:rsidRPr="00C01430">
              <w:rPr>
                <w:sz w:val="20"/>
                <w:szCs w:val="20"/>
              </w:rPr>
              <w:t xml:space="preserve">.), </w:t>
            </w:r>
            <w:r w:rsidR="00C01430" w:rsidRPr="00C01430">
              <w:rPr>
                <w:i/>
                <w:iCs/>
                <w:sz w:val="20"/>
                <w:szCs w:val="20"/>
              </w:rPr>
              <w:t xml:space="preserve">Hátrányos helyzet és iskolai </w:t>
            </w:r>
            <w:proofErr w:type="spellStart"/>
            <w:r w:rsidR="00C01430" w:rsidRPr="00C01430">
              <w:rPr>
                <w:i/>
                <w:iCs/>
                <w:sz w:val="20"/>
                <w:szCs w:val="20"/>
              </w:rPr>
              <w:t>erdményesség</w:t>
            </w:r>
            <w:proofErr w:type="spellEnd"/>
            <w:r w:rsidR="00C01430" w:rsidRPr="00C01430">
              <w:rPr>
                <w:sz w:val="20"/>
                <w:szCs w:val="20"/>
              </w:rPr>
              <w:t xml:space="preserve"> (pp. 51–74). Budapest: OFI.</w:t>
            </w:r>
          </w:p>
          <w:p w14:paraId="305AF750" w14:textId="77777777" w:rsidR="00C01430" w:rsidRPr="00F46593" w:rsidRDefault="00C01430" w:rsidP="00F46593">
            <w:pPr>
              <w:rPr>
                <w:sz w:val="20"/>
                <w:szCs w:val="20"/>
              </w:rPr>
            </w:pPr>
          </w:p>
          <w:p w14:paraId="6444D238" w14:textId="77777777" w:rsidR="00285752" w:rsidRDefault="00285752" w:rsidP="001942F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irodalom:</w:t>
            </w:r>
          </w:p>
          <w:p w14:paraId="1DCE23F8" w14:textId="0B0E8014" w:rsidR="00F46593" w:rsidRPr="00C01430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1430">
              <w:rPr>
                <w:sz w:val="20"/>
                <w:szCs w:val="20"/>
              </w:rPr>
              <w:t>APPADURAI</w:t>
            </w:r>
            <w:r w:rsidR="00F46593" w:rsidRPr="00C01430">
              <w:rPr>
                <w:sz w:val="20"/>
                <w:szCs w:val="20"/>
              </w:rPr>
              <w:t xml:space="preserve">, A. (2011). A kutatáshoz való jog. </w:t>
            </w:r>
            <w:proofErr w:type="spellStart"/>
            <w:r w:rsidR="00F46593" w:rsidRPr="00C01430">
              <w:rPr>
                <w:i/>
                <w:iCs/>
                <w:sz w:val="20"/>
                <w:szCs w:val="20"/>
              </w:rPr>
              <w:t>AnBlokk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, </w:t>
            </w:r>
            <w:r w:rsidR="00F46593" w:rsidRPr="00C01430">
              <w:rPr>
                <w:i/>
                <w:iCs/>
                <w:sz w:val="20"/>
                <w:szCs w:val="20"/>
              </w:rPr>
              <w:t>2011</w:t>
            </w:r>
            <w:r w:rsidR="00F46593" w:rsidRPr="00C01430">
              <w:rPr>
                <w:sz w:val="20"/>
                <w:szCs w:val="20"/>
              </w:rPr>
              <w:t>(5), 66–75.</w:t>
            </w:r>
          </w:p>
          <w:p w14:paraId="18E09E24" w14:textId="1DCB42F0" w:rsidR="00F46593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46593">
              <w:rPr>
                <w:sz w:val="20"/>
                <w:szCs w:val="20"/>
              </w:rPr>
              <w:t>HORVÁTH</w:t>
            </w:r>
            <w:r w:rsidR="00F46593" w:rsidRPr="00F46593">
              <w:rPr>
                <w:sz w:val="20"/>
                <w:szCs w:val="20"/>
              </w:rPr>
              <w:t xml:space="preserve">, L., </w:t>
            </w:r>
            <w:r w:rsidRPr="00F46593">
              <w:rPr>
                <w:sz w:val="20"/>
                <w:szCs w:val="20"/>
              </w:rPr>
              <w:t>KOVÁCS</w:t>
            </w:r>
            <w:r w:rsidR="00F46593" w:rsidRPr="00F46593">
              <w:rPr>
                <w:sz w:val="20"/>
                <w:szCs w:val="20"/>
              </w:rPr>
              <w:t xml:space="preserve">, A., &amp; </w:t>
            </w:r>
            <w:r w:rsidRPr="00F46593">
              <w:rPr>
                <w:sz w:val="20"/>
                <w:szCs w:val="20"/>
              </w:rPr>
              <w:t>SIMON</w:t>
            </w:r>
            <w:r w:rsidR="00F46593" w:rsidRPr="00F46593">
              <w:rPr>
                <w:sz w:val="20"/>
                <w:szCs w:val="20"/>
              </w:rPr>
              <w:t xml:space="preserve">, T. (2015). </w:t>
            </w:r>
            <w:proofErr w:type="spellStart"/>
            <w:r w:rsidR="00F46593" w:rsidRPr="00F46593">
              <w:rPr>
                <w:i/>
                <w:iCs/>
                <w:sz w:val="20"/>
                <w:szCs w:val="20"/>
              </w:rPr>
              <w:t>Tájékoztato</w:t>
            </w:r>
            <w:proofErr w:type="spellEnd"/>
            <w:r w:rsidR="00F46593" w:rsidRPr="00F46593">
              <w:rPr>
                <w:i/>
                <w:iCs/>
                <w:sz w:val="20"/>
                <w:szCs w:val="20"/>
              </w:rPr>
              <w:t xml:space="preserve">́ a </w:t>
            </w:r>
            <w:proofErr w:type="spellStart"/>
            <w:r w:rsidR="00F46593" w:rsidRPr="00F46593">
              <w:rPr>
                <w:i/>
                <w:iCs/>
                <w:sz w:val="20"/>
                <w:szCs w:val="20"/>
              </w:rPr>
              <w:t>horizontális</w:t>
            </w:r>
            <w:proofErr w:type="spellEnd"/>
            <w:r w:rsidR="00F46593" w:rsidRPr="00F465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i/>
                <w:iCs/>
                <w:sz w:val="20"/>
                <w:szCs w:val="20"/>
              </w:rPr>
              <w:t>tanulásról</w:t>
            </w:r>
            <w:proofErr w:type="spellEnd"/>
            <w:r w:rsidR="00F46593" w:rsidRPr="00F465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i/>
                <w:iCs/>
                <w:sz w:val="20"/>
                <w:szCs w:val="20"/>
              </w:rPr>
              <w:t>intézményvezetők</w:t>
            </w:r>
            <w:proofErr w:type="spellEnd"/>
            <w:r w:rsidR="00F46593" w:rsidRPr="00F465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i/>
                <w:iCs/>
                <w:sz w:val="20"/>
                <w:szCs w:val="20"/>
              </w:rPr>
              <w:t>és</w:t>
            </w:r>
            <w:proofErr w:type="spellEnd"/>
            <w:r w:rsidR="00F46593" w:rsidRPr="00F465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i/>
                <w:iCs/>
                <w:sz w:val="20"/>
                <w:szCs w:val="20"/>
              </w:rPr>
              <w:t>pedagógusok</w:t>
            </w:r>
            <w:proofErr w:type="spellEnd"/>
            <w:r w:rsidR="00F46593" w:rsidRPr="00F465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6593" w:rsidRPr="00F46593">
              <w:rPr>
                <w:i/>
                <w:iCs/>
                <w:sz w:val="20"/>
                <w:szCs w:val="20"/>
              </w:rPr>
              <w:t>számára</w:t>
            </w:r>
            <w:proofErr w:type="spellEnd"/>
            <w:r w:rsidR="00F46593" w:rsidRPr="00F46593">
              <w:rPr>
                <w:sz w:val="20"/>
                <w:szCs w:val="20"/>
              </w:rPr>
              <w:t>. Budapest: OFI.</w:t>
            </w:r>
          </w:p>
          <w:p w14:paraId="63926031" w14:textId="60AF32E2" w:rsidR="00F46593" w:rsidRPr="00F46593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46593">
              <w:rPr>
                <w:sz w:val="20"/>
                <w:szCs w:val="20"/>
              </w:rPr>
              <w:t>MAYER</w:t>
            </w:r>
            <w:r w:rsidR="00F46593" w:rsidRPr="00F46593">
              <w:rPr>
                <w:sz w:val="20"/>
                <w:szCs w:val="20"/>
              </w:rPr>
              <w:t xml:space="preserve">, J. (2007). A tanulószervezet és az eredményes oktatás. </w:t>
            </w:r>
            <w:r w:rsidR="00F46593" w:rsidRPr="00F46593">
              <w:rPr>
                <w:i/>
                <w:iCs/>
                <w:sz w:val="20"/>
                <w:szCs w:val="20"/>
              </w:rPr>
              <w:t>Új Pedagógiai Szemle</w:t>
            </w:r>
            <w:r w:rsidR="00F46593" w:rsidRPr="00F46593">
              <w:rPr>
                <w:sz w:val="20"/>
                <w:szCs w:val="20"/>
              </w:rPr>
              <w:t>, (2007/3-4).</w:t>
            </w:r>
          </w:p>
          <w:p w14:paraId="6299B8FA" w14:textId="7DE4DD04" w:rsidR="00F46593" w:rsidRPr="00C01430" w:rsidRDefault="00202780" w:rsidP="00F46593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1430">
              <w:rPr>
                <w:sz w:val="20"/>
                <w:szCs w:val="20"/>
              </w:rPr>
              <w:t>SÁGI</w:t>
            </w:r>
            <w:r w:rsidR="00F46593" w:rsidRPr="00C01430">
              <w:rPr>
                <w:sz w:val="20"/>
                <w:szCs w:val="20"/>
              </w:rPr>
              <w:t xml:space="preserve">, M. (2016). </w:t>
            </w:r>
            <w:proofErr w:type="spellStart"/>
            <w:r w:rsidR="00F46593" w:rsidRPr="00C01430">
              <w:rPr>
                <w:sz w:val="20"/>
                <w:szCs w:val="20"/>
              </w:rPr>
              <w:t>Iskolavezetés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, iskolai </w:t>
            </w:r>
            <w:proofErr w:type="spellStart"/>
            <w:r w:rsidR="00F46593" w:rsidRPr="00C01430">
              <w:rPr>
                <w:sz w:val="20"/>
                <w:szCs w:val="20"/>
              </w:rPr>
              <w:t>kollektíva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 </w:t>
            </w:r>
            <w:proofErr w:type="spellStart"/>
            <w:r w:rsidR="00F46593" w:rsidRPr="00C01430">
              <w:rPr>
                <w:sz w:val="20"/>
                <w:szCs w:val="20"/>
              </w:rPr>
              <w:t>és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 </w:t>
            </w:r>
            <w:proofErr w:type="spellStart"/>
            <w:r w:rsidR="00F46593" w:rsidRPr="00C01430">
              <w:rPr>
                <w:sz w:val="20"/>
                <w:szCs w:val="20"/>
              </w:rPr>
              <w:t>eredményesség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. In M. </w:t>
            </w:r>
            <w:proofErr w:type="spellStart"/>
            <w:r w:rsidR="00F46593" w:rsidRPr="00C01430">
              <w:rPr>
                <w:sz w:val="20"/>
                <w:szCs w:val="20"/>
              </w:rPr>
              <w:t>Szemerszki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 (</w:t>
            </w:r>
            <w:proofErr w:type="spellStart"/>
            <w:r w:rsidR="00F46593" w:rsidRPr="00C01430">
              <w:rPr>
                <w:sz w:val="20"/>
                <w:szCs w:val="20"/>
              </w:rPr>
              <w:t>Ed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.), </w:t>
            </w:r>
            <w:r w:rsidR="00F46593" w:rsidRPr="00C01430">
              <w:rPr>
                <w:i/>
                <w:iCs/>
                <w:sz w:val="20"/>
                <w:szCs w:val="20"/>
              </w:rPr>
              <w:t xml:space="preserve">Hátrányos helyzet és iskolai </w:t>
            </w:r>
            <w:proofErr w:type="spellStart"/>
            <w:r w:rsidR="00F46593" w:rsidRPr="00C01430">
              <w:rPr>
                <w:i/>
                <w:iCs/>
                <w:sz w:val="20"/>
                <w:szCs w:val="20"/>
              </w:rPr>
              <w:t>erdményesség</w:t>
            </w:r>
            <w:proofErr w:type="spellEnd"/>
            <w:r w:rsidR="00F46593" w:rsidRPr="00C01430">
              <w:rPr>
                <w:sz w:val="20"/>
                <w:szCs w:val="20"/>
              </w:rPr>
              <w:t xml:space="preserve"> (pp. 101–124). Budapest: OFI.</w:t>
            </w:r>
          </w:p>
          <w:p w14:paraId="73BCBAEE" w14:textId="74EC06CF" w:rsidR="0036567F" w:rsidRPr="00395F25" w:rsidRDefault="0036567F" w:rsidP="00F46593">
            <w:pPr>
              <w:ind w:left="360"/>
            </w:pPr>
          </w:p>
        </w:tc>
      </w:tr>
      <w:tr w:rsidR="00D5395B" w:rsidRPr="009C5B59" w14:paraId="60192174" w14:textId="77777777" w:rsidTr="00395F25">
        <w:trPr>
          <w:trHeight w:val="67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9888122" w14:textId="17EE5677" w:rsidR="00D5395B" w:rsidRPr="009C5B59" w:rsidRDefault="00E9424C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Kurzustematika</w:t>
            </w:r>
            <w:r w:rsidR="00D5395B" w:rsidRPr="009C5B59">
              <w:rPr>
                <w:sz w:val="22"/>
                <w:szCs w:val="22"/>
              </w:rPr>
              <w:t xml:space="preserve">: </w:t>
            </w:r>
          </w:p>
          <w:p w14:paraId="33F7B83F" w14:textId="1FBC0033" w:rsidR="00E643DD" w:rsidRPr="00E643DD" w:rsidRDefault="00E643DD" w:rsidP="00E643DD">
            <w:pPr>
              <w:pStyle w:val="Irodalomjegyzk"/>
              <w:framePr w:hSpace="0" w:wrap="auto" w:vAnchor="margin" w:hAnchor="text" w:xAlign="left" w:yAlign="inline"/>
            </w:pPr>
            <w:r w:rsidRPr="00E643DD">
              <w:t>A kurzus során három különböző iskolai esettanulmányt dolgozunk fel közösen</w:t>
            </w:r>
            <w:r w:rsidR="00B5349C">
              <w:t>, az intézmény- és szervezetfejlesztés fogalmi kereteit felhasználva</w:t>
            </w:r>
          </w:p>
          <w:p w14:paraId="5EA7C0F4" w14:textId="2F71862A" w:rsidR="00D5395B" w:rsidRPr="00E643DD" w:rsidRDefault="00D5395B" w:rsidP="00E643DD">
            <w:pPr>
              <w:pStyle w:val="Irodalomjegyzk"/>
              <w:framePr w:hSpace="0" w:wrap="auto" w:vAnchor="margin" w:hAnchor="text" w:xAlign="left" w:yAlign="inline"/>
              <w:rPr>
                <w:b/>
              </w:rPr>
            </w:pPr>
            <w:r w:rsidRPr="00E643DD">
              <w:rPr>
                <w:b/>
              </w:rPr>
              <w:lastRenderedPageBreak/>
              <w:t>Követelmények, értékelés:</w:t>
            </w:r>
          </w:p>
          <w:p w14:paraId="47A7433A" w14:textId="3EE5842C" w:rsidR="009C5B59" w:rsidRPr="00E643DD" w:rsidRDefault="009C5B59" w:rsidP="00E643DD">
            <w:pPr>
              <w:pStyle w:val="Irodalomjegyzk"/>
              <w:framePr w:hSpace="0" w:wrap="auto" w:vAnchor="margin" w:hAnchor="text" w:xAlign="left" w:yAlign="inline"/>
            </w:pPr>
            <w:r w:rsidRPr="00E643DD">
              <w:t>A</w:t>
            </w:r>
            <w:r w:rsidR="00E56FBB" w:rsidRPr="00E643DD">
              <w:t>zok a hallgatók, akik</w:t>
            </w:r>
            <w:r w:rsidRPr="00E643DD">
              <w:t xml:space="preserve"> </w:t>
            </w:r>
            <w:r w:rsidR="00E56FBB" w:rsidRPr="00E643DD">
              <w:t>az órák 80%-án részt vettek,</w:t>
            </w:r>
            <w:r w:rsidRPr="00E643DD">
              <w:t xml:space="preserve"> a szemeszter vég</w:t>
            </w:r>
            <w:r w:rsidR="00CB39FF" w:rsidRPr="00E643DD">
              <w:t>é</w:t>
            </w:r>
            <w:r w:rsidR="00B5349C">
              <w:t>n leadott „intézményi zoom” ábrázolásra kapnak érdemjegyet.</w:t>
            </w:r>
          </w:p>
          <w:p w14:paraId="3E6C6986" w14:textId="48A23F1C" w:rsidR="009C5B59" w:rsidRPr="009C5B59" w:rsidRDefault="009C5B59" w:rsidP="009C5B59">
            <w:pPr>
              <w:rPr>
                <w:sz w:val="22"/>
                <w:szCs w:val="22"/>
              </w:rPr>
            </w:pPr>
          </w:p>
        </w:tc>
      </w:tr>
      <w:tr w:rsidR="00D5395B" w:rsidRPr="009C5B59" w14:paraId="1E04399E" w14:textId="77777777" w:rsidTr="00395F25">
        <w:trPr>
          <w:cantSplit/>
          <w:trHeight w:val="705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3F254EEF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lastRenderedPageBreak/>
              <w:t>Kurzus hirdetője:</w:t>
            </w:r>
          </w:p>
          <w:p w14:paraId="155200F7" w14:textId="77777777" w:rsidR="00D5395B" w:rsidRPr="009C5B59" w:rsidRDefault="00D5395B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WJLF Neveléstudományi tanszék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05FBCAEB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Félév:</w:t>
            </w:r>
          </w:p>
          <w:p w14:paraId="27A43BEA" w14:textId="2B388657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201</w:t>
            </w:r>
            <w:r w:rsidR="00CB5AA1" w:rsidRPr="009C5B59">
              <w:rPr>
                <w:sz w:val="22"/>
                <w:szCs w:val="22"/>
              </w:rPr>
              <w:t>9</w:t>
            </w:r>
            <w:r w:rsidRPr="009C5B59">
              <w:rPr>
                <w:sz w:val="22"/>
                <w:szCs w:val="22"/>
              </w:rPr>
              <w:t>/</w:t>
            </w:r>
            <w:r w:rsidR="00CB5AA1" w:rsidRPr="009C5B59">
              <w:rPr>
                <w:sz w:val="22"/>
                <w:szCs w:val="22"/>
              </w:rPr>
              <w:t>20</w:t>
            </w:r>
            <w:r w:rsidRPr="009C5B59">
              <w:rPr>
                <w:sz w:val="22"/>
                <w:szCs w:val="22"/>
              </w:rPr>
              <w:t xml:space="preserve">. </w:t>
            </w:r>
            <w:r w:rsidR="00202780">
              <w:rPr>
                <w:sz w:val="22"/>
                <w:szCs w:val="22"/>
              </w:rPr>
              <w:t>tavasz</w:t>
            </w:r>
          </w:p>
          <w:p w14:paraId="629B4FBB" w14:textId="77777777" w:rsidR="00D5395B" w:rsidRPr="009C5B59" w:rsidRDefault="00D5395B" w:rsidP="00D5395B">
            <w:pPr>
              <w:rPr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B4E9CF6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Oktató: </w:t>
            </w:r>
          </w:p>
          <w:p w14:paraId="11E87604" w14:textId="77777777" w:rsidR="00D5395B" w:rsidRPr="009C5B59" w:rsidRDefault="00CB5AA1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Tóth Tamás PhD, egy. adjunktus</w:t>
            </w:r>
          </w:p>
        </w:tc>
      </w:tr>
    </w:tbl>
    <w:p w14:paraId="232324C9" w14:textId="77777777" w:rsidR="00B41CA8" w:rsidRPr="009C5B59" w:rsidRDefault="00B41CA8" w:rsidP="00154753">
      <w:pPr>
        <w:rPr>
          <w:sz w:val="22"/>
          <w:szCs w:val="22"/>
        </w:rPr>
      </w:pPr>
    </w:p>
    <w:sectPr w:rsidR="00B41CA8" w:rsidRPr="009C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6D34C5B"/>
    <w:multiLevelType w:val="hybridMultilevel"/>
    <w:tmpl w:val="1280223C"/>
    <w:lvl w:ilvl="0" w:tplc="D67E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29"/>
    <w:multiLevelType w:val="multilevel"/>
    <w:tmpl w:val="5B4E3672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1C593437"/>
    <w:multiLevelType w:val="hybridMultilevel"/>
    <w:tmpl w:val="3BAA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92E"/>
    <w:multiLevelType w:val="multilevel"/>
    <w:tmpl w:val="AF8AACAE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5" w15:restartNumberingAfterBreak="0">
    <w:nsid w:val="1FA12488"/>
    <w:multiLevelType w:val="hybridMultilevel"/>
    <w:tmpl w:val="F27638E0"/>
    <w:lvl w:ilvl="0" w:tplc="3128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A51"/>
    <w:multiLevelType w:val="multilevel"/>
    <w:tmpl w:val="E37E0BE6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4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7" w15:restartNumberingAfterBreak="0">
    <w:nsid w:val="22D73D86"/>
    <w:multiLevelType w:val="hybridMultilevel"/>
    <w:tmpl w:val="AC0CCA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650B"/>
    <w:multiLevelType w:val="hybridMultilevel"/>
    <w:tmpl w:val="533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77E4"/>
    <w:multiLevelType w:val="hybridMultilevel"/>
    <w:tmpl w:val="B546D4DA"/>
    <w:lvl w:ilvl="0" w:tplc="88EC4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910DE"/>
    <w:multiLevelType w:val="hybridMultilevel"/>
    <w:tmpl w:val="DF02D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41A9F"/>
    <w:multiLevelType w:val="hybridMultilevel"/>
    <w:tmpl w:val="6DA6EA6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F36EC"/>
    <w:multiLevelType w:val="hybridMultilevel"/>
    <w:tmpl w:val="789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747"/>
    <w:multiLevelType w:val="hybridMultilevel"/>
    <w:tmpl w:val="045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51F4"/>
    <w:multiLevelType w:val="multilevel"/>
    <w:tmpl w:val="67CED428"/>
    <w:lvl w:ilvl="0">
      <w:start w:val="10"/>
      <w:numFmt w:val="decimal"/>
      <w:lvlText w:val="%1-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1"/>
      <w:numFmt w:val="decimal"/>
      <w:lvlText w:val="%1-%2-"/>
      <w:lvlJc w:val="left"/>
      <w:pPr>
        <w:tabs>
          <w:tab w:val="num" w:pos="960"/>
        </w:tabs>
        <w:ind w:left="960" w:hanging="780"/>
      </w:pPr>
      <w:rPr>
        <w:rFonts w:hint="default"/>
        <w:i w:val="0"/>
      </w:rPr>
    </w:lvl>
    <w:lvl w:ilvl="2">
      <w:start w:val="12"/>
      <w:numFmt w:val="decimal"/>
      <w:lvlText w:val="%1-%2-%3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5" w15:restartNumberingAfterBreak="0">
    <w:nsid w:val="588A6C59"/>
    <w:multiLevelType w:val="hybridMultilevel"/>
    <w:tmpl w:val="314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31622"/>
    <w:multiLevelType w:val="multilevel"/>
    <w:tmpl w:val="B778E470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7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8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7" w15:restartNumberingAfterBreak="0">
    <w:nsid w:val="5C296428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63036D"/>
    <w:multiLevelType w:val="hybridMultilevel"/>
    <w:tmpl w:val="7D08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188A"/>
    <w:multiLevelType w:val="hybridMultilevel"/>
    <w:tmpl w:val="A4F4A18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60784"/>
    <w:multiLevelType w:val="hybridMultilevel"/>
    <w:tmpl w:val="0AA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352BE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9"/>
  </w:num>
  <w:num w:numId="16">
    <w:abstractNumId w:val="9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7"/>
  </w:num>
  <w:num w:numId="25">
    <w:abstractNumId w:val="22"/>
  </w:num>
  <w:num w:numId="26">
    <w:abstractNumId w:val="18"/>
  </w:num>
  <w:num w:numId="27">
    <w:abstractNumId w:val="15"/>
  </w:num>
  <w:num w:numId="28">
    <w:abstractNumId w:val="3"/>
  </w:num>
  <w:num w:numId="29">
    <w:abstractNumId w:val="21"/>
  </w:num>
  <w:num w:numId="30">
    <w:abstractNumId w:val="8"/>
  </w:num>
  <w:num w:numId="31">
    <w:abstractNumId w:val="13"/>
  </w:num>
  <w:num w:numId="32">
    <w:abstractNumId w:val="1"/>
  </w:num>
  <w:num w:numId="33">
    <w:abstractNumId w:val="5"/>
  </w:num>
  <w:num w:numId="34">
    <w:abstractNumId w:val="12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1"/>
    <w:rsid w:val="00014275"/>
    <w:rsid w:val="00016A87"/>
    <w:rsid w:val="0002456F"/>
    <w:rsid w:val="000304AF"/>
    <w:rsid w:val="00033528"/>
    <w:rsid w:val="00062FF1"/>
    <w:rsid w:val="00063B3A"/>
    <w:rsid w:val="000C6117"/>
    <w:rsid w:val="000D7416"/>
    <w:rsid w:val="000F220B"/>
    <w:rsid w:val="000F4241"/>
    <w:rsid w:val="000F6A9A"/>
    <w:rsid w:val="000F7BBE"/>
    <w:rsid w:val="00123BDC"/>
    <w:rsid w:val="001416D5"/>
    <w:rsid w:val="00154753"/>
    <w:rsid w:val="0017019E"/>
    <w:rsid w:val="00175348"/>
    <w:rsid w:val="001768A1"/>
    <w:rsid w:val="001942FB"/>
    <w:rsid w:val="00195E1E"/>
    <w:rsid w:val="001A0F61"/>
    <w:rsid w:val="001A71C3"/>
    <w:rsid w:val="001C7CC3"/>
    <w:rsid w:val="001D55AB"/>
    <w:rsid w:val="001E2585"/>
    <w:rsid w:val="001F4171"/>
    <w:rsid w:val="00202780"/>
    <w:rsid w:val="00207A23"/>
    <w:rsid w:val="00224E96"/>
    <w:rsid w:val="00232FC0"/>
    <w:rsid w:val="00236ED6"/>
    <w:rsid w:val="0025792F"/>
    <w:rsid w:val="00274659"/>
    <w:rsid w:val="00285752"/>
    <w:rsid w:val="002A219A"/>
    <w:rsid w:val="002A2215"/>
    <w:rsid w:val="002F19A3"/>
    <w:rsid w:val="002F68E2"/>
    <w:rsid w:val="00336D57"/>
    <w:rsid w:val="0036567F"/>
    <w:rsid w:val="0038016B"/>
    <w:rsid w:val="00380B91"/>
    <w:rsid w:val="00390CC1"/>
    <w:rsid w:val="00395F25"/>
    <w:rsid w:val="003A334D"/>
    <w:rsid w:val="003E2E64"/>
    <w:rsid w:val="003F1B5C"/>
    <w:rsid w:val="003F2EF0"/>
    <w:rsid w:val="004020D1"/>
    <w:rsid w:val="00413962"/>
    <w:rsid w:val="00441338"/>
    <w:rsid w:val="004471C7"/>
    <w:rsid w:val="00465A3A"/>
    <w:rsid w:val="004968B7"/>
    <w:rsid w:val="004A2A21"/>
    <w:rsid w:val="004D358B"/>
    <w:rsid w:val="004F4601"/>
    <w:rsid w:val="00506537"/>
    <w:rsid w:val="00554C79"/>
    <w:rsid w:val="0055745D"/>
    <w:rsid w:val="00560436"/>
    <w:rsid w:val="00596FC6"/>
    <w:rsid w:val="005B521A"/>
    <w:rsid w:val="005B6C9C"/>
    <w:rsid w:val="00605493"/>
    <w:rsid w:val="00610477"/>
    <w:rsid w:val="00615596"/>
    <w:rsid w:val="0062340A"/>
    <w:rsid w:val="00626157"/>
    <w:rsid w:val="00631BA7"/>
    <w:rsid w:val="00650F71"/>
    <w:rsid w:val="00653A16"/>
    <w:rsid w:val="00677021"/>
    <w:rsid w:val="006773EE"/>
    <w:rsid w:val="00681B41"/>
    <w:rsid w:val="00684F1E"/>
    <w:rsid w:val="006934B3"/>
    <w:rsid w:val="006D0D3F"/>
    <w:rsid w:val="006F2917"/>
    <w:rsid w:val="006F5203"/>
    <w:rsid w:val="006F5F70"/>
    <w:rsid w:val="00707663"/>
    <w:rsid w:val="00760B11"/>
    <w:rsid w:val="00774FDE"/>
    <w:rsid w:val="00786ED4"/>
    <w:rsid w:val="007B5AF0"/>
    <w:rsid w:val="007C75D5"/>
    <w:rsid w:val="007E4D07"/>
    <w:rsid w:val="00801642"/>
    <w:rsid w:val="0081288A"/>
    <w:rsid w:val="008209C3"/>
    <w:rsid w:val="00891B18"/>
    <w:rsid w:val="0089792D"/>
    <w:rsid w:val="008A4AFF"/>
    <w:rsid w:val="008A57B2"/>
    <w:rsid w:val="008A6C41"/>
    <w:rsid w:val="008C3F87"/>
    <w:rsid w:val="008D1FE3"/>
    <w:rsid w:val="008F0DD4"/>
    <w:rsid w:val="008F3919"/>
    <w:rsid w:val="008F547C"/>
    <w:rsid w:val="00911610"/>
    <w:rsid w:val="00917C7B"/>
    <w:rsid w:val="00930043"/>
    <w:rsid w:val="00933E2A"/>
    <w:rsid w:val="00941C67"/>
    <w:rsid w:val="00970310"/>
    <w:rsid w:val="009736A1"/>
    <w:rsid w:val="0097464E"/>
    <w:rsid w:val="009C06FE"/>
    <w:rsid w:val="009C2D81"/>
    <w:rsid w:val="009C5B59"/>
    <w:rsid w:val="009C7E78"/>
    <w:rsid w:val="009D13F9"/>
    <w:rsid w:val="009D7542"/>
    <w:rsid w:val="00A018D0"/>
    <w:rsid w:val="00A25AEC"/>
    <w:rsid w:val="00A42A75"/>
    <w:rsid w:val="00A43EA0"/>
    <w:rsid w:val="00A61C22"/>
    <w:rsid w:val="00A71041"/>
    <w:rsid w:val="00AC324C"/>
    <w:rsid w:val="00B1292B"/>
    <w:rsid w:val="00B138DA"/>
    <w:rsid w:val="00B14328"/>
    <w:rsid w:val="00B1575E"/>
    <w:rsid w:val="00B41CA8"/>
    <w:rsid w:val="00B42A6E"/>
    <w:rsid w:val="00B5349C"/>
    <w:rsid w:val="00B816D3"/>
    <w:rsid w:val="00BC0F0F"/>
    <w:rsid w:val="00BD2CBF"/>
    <w:rsid w:val="00BD5F56"/>
    <w:rsid w:val="00BE12EE"/>
    <w:rsid w:val="00BE704C"/>
    <w:rsid w:val="00C01430"/>
    <w:rsid w:val="00C24CD5"/>
    <w:rsid w:val="00C36380"/>
    <w:rsid w:val="00C47BB6"/>
    <w:rsid w:val="00C50D1E"/>
    <w:rsid w:val="00C602B4"/>
    <w:rsid w:val="00C60FD4"/>
    <w:rsid w:val="00C729F4"/>
    <w:rsid w:val="00C90587"/>
    <w:rsid w:val="00CA05A1"/>
    <w:rsid w:val="00CB2F34"/>
    <w:rsid w:val="00CB39FF"/>
    <w:rsid w:val="00CB5AA1"/>
    <w:rsid w:val="00CE3D46"/>
    <w:rsid w:val="00CE5951"/>
    <w:rsid w:val="00D34142"/>
    <w:rsid w:val="00D40A74"/>
    <w:rsid w:val="00D45D19"/>
    <w:rsid w:val="00D52165"/>
    <w:rsid w:val="00D5395B"/>
    <w:rsid w:val="00D5661C"/>
    <w:rsid w:val="00D768F2"/>
    <w:rsid w:val="00D80D3D"/>
    <w:rsid w:val="00D834D9"/>
    <w:rsid w:val="00D90739"/>
    <w:rsid w:val="00D91ED9"/>
    <w:rsid w:val="00D95728"/>
    <w:rsid w:val="00DA7225"/>
    <w:rsid w:val="00DC0F64"/>
    <w:rsid w:val="00DC5E3D"/>
    <w:rsid w:val="00DD4220"/>
    <w:rsid w:val="00DE6D7E"/>
    <w:rsid w:val="00DF08A7"/>
    <w:rsid w:val="00DF4994"/>
    <w:rsid w:val="00E31B80"/>
    <w:rsid w:val="00E34669"/>
    <w:rsid w:val="00E410E4"/>
    <w:rsid w:val="00E51713"/>
    <w:rsid w:val="00E56FBB"/>
    <w:rsid w:val="00E60A49"/>
    <w:rsid w:val="00E643DD"/>
    <w:rsid w:val="00E821E8"/>
    <w:rsid w:val="00E9424C"/>
    <w:rsid w:val="00EA217D"/>
    <w:rsid w:val="00EA5A79"/>
    <w:rsid w:val="00EE2CEB"/>
    <w:rsid w:val="00EE7C74"/>
    <w:rsid w:val="00EF0969"/>
    <w:rsid w:val="00F103E7"/>
    <w:rsid w:val="00F21A1C"/>
    <w:rsid w:val="00F405E3"/>
    <w:rsid w:val="00F430C4"/>
    <w:rsid w:val="00F448CF"/>
    <w:rsid w:val="00F46593"/>
    <w:rsid w:val="00F66683"/>
    <w:rsid w:val="00F75AE3"/>
    <w:rsid w:val="00F76CE9"/>
    <w:rsid w:val="00F8340D"/>
    <w:rsid w:val="00F9214D"/>
    <w:rsid w:val="00FA04B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7B65"/>
  <w15:chartTrackingRefBased/>
  <w15:docId w15:val="{34A7BA36-7654-AC46-88E2-4EE53F6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customStyle="1" w:styleId="Nv">
    <w:name w:val="Név"/>
    <w:basedOn w:val="Norml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Irodalomjegyzk">
    <w:name w:val="Bibliography"/>
    <w:basedOn w:val="Norml"/>
    <w:autoRedefine/>
    <w:rsid w:val="00E643DD"/>
    <w:pPr>
      <w:keepLines/>
      <w:framePr w:hSpace="141" w:wrap="around" w:vAnchor="page" w:hAnchor="margin" w:xAlign="center" w:y="1201"/>
      <w:spacing w:before="60" w:after="60"/>
    </w:pPr>
    <w:rPr>
      <w:kern w:val="28"/>
      <w:sz w:val="22"/>
      <w:szCs w:val="22"/>
    </w:rPr>
  </w:style>
  <w:style w:type="paragraph" w:styleId="Szvegtrzs">
    <w:name w:val="Body Text"/>
    <w:basedOn w:val="Norml"/>
    <w:rPr>
      <w:bCs/>
      <w:sz w:val="20"/>
    </w:rPr>
  </w:style>
  <w:style w:type="character" w:styleId="Hiperhivatkozs">
    <w:name w:val="Hyperlink"/>
    <w:rsid w:val="0015475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D90739"/>
    <w:pPr>
      <w:spacing w:before="100" w:beforeAutospacing="1" w:after="100" w:afterAutospacing="1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D768F2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6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D76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neve: x</vt:lpstr>
      <vt:lpstr>Tantárgy neve: x</vt:lpstr>
    </vt:vector>
  </TitlesOfParts>
  <Company>FKI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x</dc:title>
  <dc:subject/>
  <dc:creator>Lukács Péter</dc:creator>
  <cp:keywords/>
  <cp:lastModifiedBy>Baranyi Péter</cp:lastModifiedBy>
  <cp:revision>2</cp:revision>
  <dcterms:created xsi:type="dcterms:W3CDTF">2020-01-23T10:35:00Z</dcterms:created>
  <dcterms:modified xsi:type="dcterms:W3CDTF">2020-01-23T10:35:00Z</dcterms:modified>
</cp:coreProperties>
</file>