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00120" w14:textId="77777777" w:rsidR="00460DF6" w:rsidRDefault="00DA38C6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74C45C" wp14:editId="2B9DE87F">
            <wp:simplePos x="0" y="0"/>
            <wp:positionH relativeFrom="column">
              <wp:posOffset>64774</wp:posOffset>
            </wp:positionH>
            <wp:positionV relativeFrom="paragraph">
              <wp:posOffset>-182876</wp:posOffset>
            </wp:positionV>
            <wp:extent cx="2238375" cy="636270"/>
            <wp:effectExtent l="0" t="0" r="0" b="0"/>
            <wp:wrapSquare wrapText="bothSides" distT="0" distB="0" distL="114300" distR="114300"/>
            <wp:docPr id="9" name="image2.png" descr="erasmus+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rasmus+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3ED1944" wp14:editId="19EF2A56">
            <wp:simplePos x="0" y="0"/>
            <wp:positionH relativeFrom="column">
              <wp:posOffset>3231515</wp:posOffset>
            </wp:positionH>
            <wp:positionV relativeFrom="paragraph">
              <wp:posOffset>-309876</wp:posOffset>
            </wp:positionV>
            <wp:extent cx="2752725" cy="914400"/>
            <wp:effectExtent l="0" t="0" r="0" b="0"/>
            <wp:wrapSquare wrapText="bothSides" distT="0" distB="0" distL="114300" distR="114300"/>
            <wp:docPr id="10" name="image1.png" descr="wesley-janos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esley-janos-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E81799" w14:textId="77777777" w:rsidR="00460DF6" w:rsidRDefault="00460DF6"/>
    <w:p w14:paraId="3BDE1370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9C74C5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89589" w14:textId="77777777" w:rsidR="00460DF6" w:rsidRDefault="00DA3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FOR PROPOSALS</w:t>
      </w:r>
    </w:p>
    <w:p w14:paraId="67CD9F27" w14:textId="77777777" w:rsidR="00460DF6" w:rsidRDefault="00DA3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MOBILITY FOR PLACEMENTS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14:paraId="565F9B12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CDDB4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Erasmus+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European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Commission's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Wesley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College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Erasmus+,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Wesley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College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encourage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Wesleyan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program.</w:t>
      </w:r>
    </w:p>
    <w:p w14:paraId="4A6205E7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College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launching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institution-wide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Erasmus+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2024/2025.</w:t>
      </w:r>
    </w:p>
    <w:p w14:paraId="2D893BA5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202C9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internship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is:</w:t>
      </w:r>
    </w:p>
    <w:p w14:paraId="21F18455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partner country.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acquire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labor market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understand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country.</w:t>
      </w:r>
    </w:p>
    <w:p w14:paraId="496E63E8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enterprise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FB8982" w14:textId="77777777" w:rsidR="00460DF6" w:rsidRDefault="00DA38C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labor market,</w:t>
      </w:r>
    </w:p>
    <w:p w14:paraId="0ED70BFB" w14:textId="77777777" w:rsidR="00460DF6" w:rsidRDefault="00DA38C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F36829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be:</w:t>
      </w:r>
    </w:p>
    <w:p w14:paraId="16EFCDC8" w14:textId="77777777" w:rsidR="00460DF6" w:rsidRDefault="00DA38C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8B61FE4" w14:textId="77777777" w:rsidR="00460DF6" w:rsidRDefault="00DA38C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European Union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22413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accepted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Wesley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Wesley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credit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converted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diploma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supplement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5EDA39" w14:textId="5D0979C9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1EE02" w14:textId="2C64A256" w:rsidR="00BC7FBE" w:rsidRDefault="00BC7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48E64" w14:textId="77777777" w:rsidR="00BC7FBE" w:rsidRDefault="00BC7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69713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participating</w:t>
      </w:r>
      <w:proofErr w:type="spellEnd"/>
    </w:p>
    <w:p w14:paraId="1B3E69A1" w14:textId="77777777" w:rsidR="00460DF6" w:rsidRDefault="00DA38C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so-called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member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European Union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Belgium,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Bulgaria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Cyprus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France,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Netherlands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Ireland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Poland,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Lithuania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Luxembourg, Hungary,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Portugal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Spain,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Slovakia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4670208" w14:textId="77777777" w:rsidR="00460DF6" w:rsidRDefault="00DA38C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non-EU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counries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Macedonia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Iceland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Liechtenstein,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Serbia</w:t>
      </w:r>
      <w:proofErr w:type="spellEnd"/>
    </w:p>
    <w:p w14:paraId="3EC5BDC1" w14:textId="77777777" w:rsidR="00460DF6" w:rsidRDefault="00DA38C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so-called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partner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internships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partner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supported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determined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0D6E94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57F8F5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 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15th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70%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F6BD00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awarded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accompanying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friendly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friendly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BD7559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BDB0E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F8E83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AB1D0B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60696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78F4C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1122E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331B3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66256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84BB2D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D8D67" w14:textId="77777777" w:rsidR="00460DF6" w:rsidRPr="006A6715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Student</w:t>
      </w:r>
      <w:proofErr w:type="spellEnd"/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t>mobility</w:t>
      </w:r>
      <w:proofErr w:type="spellEnd"/>
    </w:p>
    <w:p w14:paraId="00F6A361" w14:textId="77777777" w:rsidR="00460DF6" w:rsidRPr="006A6715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t>Short-term</w:t>
      </w:r>
      <w:proofErr w:type="spellEnd"/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t>physical</w:t>
      </w:r>
      <w:proofErr w:type="spellEnd"/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t>mobility</w:t>
      </w:r>
      <w:proofErr w:type="spellEnd"/>
    </w:p>
    <w:p w14:paraId="10E67691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45F403C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EUR 79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EUR 56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15th and 30th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045E8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7F69A24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short-term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entitled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EUR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and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EUR 150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and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842E25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BEB1DD3" w14:textId="186B2E81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trainees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short-term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552E87" w14:textId="0DE6D97F" w:rsidR="006A6715" w:rsidRDefault="006A67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91ABD" w14:textId="77777777" w:rsidR="006A6715" w:rsidRPr="006A6715" w:rsidRDefault="006A6715" w:rsidP="006A67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t>Long-</w:t>
      </w:r>
      <w:proofErr w:type="spellStart"/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t>term</w:t>
      </w:r>
      <w:proofErr w:type="spellEnd"/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t>physical</w:t>
      </w:r>
      <w:proofErr w:type="spellEnd"/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715">
        <w:rPr>
          <w:rFonts w:ascii="Times New Roman" w:eastAsia="Times New Roman" w:hAnsi="Times New Roman" w:cs="Times New Roman"/>
          <w:b/>
          <w:bCs/>
          <w:sz w:val="24"/>
          <w:szCs w:val="24"/>
        </w:rPr>
        <w:t>mobility</w:t>
      </w:r>
      <w:proofErr w:type="spellEnd"/>
    </w:p>
    <w:p w14:paraId="1A23AD7D" w14:textId="77777777" w:rsidR="006A6715" w:rsidRDefault="006A6715" w:rsidP="006A67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34C98F2" w14:textId="6B89009C" w:rsidR="006A6715" w:rsidRDefault="006A6715" w:rsidP="00861F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long-term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purposes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 and 14,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outermost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overseas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territories</w:t>
      </w:r>
      <w:proofErr w:type="spellEnd"/>
    </w:p>
    <w:p w14:paraId="23ECB20C" w14:textId="4A773F7D" w:rsidR="00BC7FBE" w:rsidRDefault="00BC7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BC7FBE" w14:paraId="2951DCBD" w14:textId="77777777" w:rsidTr="00570DA1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B20D" w14:textId="77777777" w:rsidR="00BC7FBE" w:rsidRDefault="00BC7FBE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Country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6015" w14:textId="77777777" w:rsidR="00BC7FBE" w:rsidRDefault="00BC7FBE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Partcipants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Ukraine</w:t>
            </w:r>
            <w:proofErr w:type="spellEnd"/>
          </w:p>
          <w:p w14:paraId="7A0EEAC7" w14:textId="77777777" w:rsidR="00BC7FBE" w:rsidRDefault="00BC7FBE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7FBE" w14:paraId="04877A48" w14:textId="77777777" w:rsidTr="00570DA1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E0FA8" w14:textId="0C7F5BC9" w:rsidR="00BC7FBE" w:rsidRDefault="0036364F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Austria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Belgium,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Denmark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Finland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France,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Germany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Iceland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Ireland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Italy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Liechtenstein, Luxembourg,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Netherlands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Norway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Sweden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B876F" w14:textId="77777777" w:rsidR="00BC7FBE" w:rsidRDefault="00BC7FBE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 EUR</w:t>
            </w:r>
          </w:p>
        </w:tc>
      </w:tr>
      <w:tr w:rsidR="00BC7FBE" w14:paraId="79EDFB0D" w14:textId="77777777" w:rsidTr="00570DA1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89A9" w14:textId="7BC75BBC" w:rsidR="00BC7FBE" w:rsidRPr="0036364F" w:rsidRDefault="0036364F" w:rsidP="00570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364F">
              <w:rPr>
                <w:rFonts w:ascii="Times New Roman" w:eastAsia="Times New Roman" w:hAnsi="Times New Roman" w:cs="Times New Roman"/>
              </w:rPr>
              <w:t>Cyprus</w:t>
            </w:r>
            <w:proofErr w:type="spellEnd"/>
            <w:r w:rsidRPr="0036364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6364F">
              <w:rPr>
                <w:rFonts w:ascii="Times New Roman" w:eastAsia="Times New Roman" w:hAnsi="Times New Roman" w:cs="Times New Roman"/>
              </w:rPr>
              <w:t>Czech</w:t>
            </w:r>
            <w:proofErr w:type="spellEnd"/>
            <w:r w:rsidRPr="003636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364F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36364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6364F">
              <w:rPr>
                <w:rFonts w:ascii="Times New Roman" w:eastAsia="Times New Roman" w:hAnsi="Times New Roman" w:cs="Times New Roman"/>
              </w:rPr>
              <w:t>Estonia</w:t>
            </w:r>
            <w:proofErr w:type="spellEnd"/>
            <w:r w:rsidRPr="0036364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6364F">
              <w:rPr>
                <w:rFonts w:ascii="Times New Roman" w:eastAsia="Times New Roman" w:hAnsi="Times New Roman" w:cs="Times New Roman"/>
              </w:rPr>
              <w:t>Greece</w:t>
            </w:r>
            <w:proofErr w:type="spellEnd"/>
            <w:r w:rsidRPr="0036364F">
              <w:rPr>
                <w:rFonts w:ascii="Times New Roman" w:eastAsia="Times New Roman" w:hAnsi="Times New Roman" w:cs="Times New Roman"/>
              </w:rPr>
              <w:t xml:space="preserve">, Hungary, </w:t>
            </w:r>
            <w:proofErr w:type="spellStart"/>
            <w:r w:rsidRPr="0036364F">
              <w:rPr>
                <w:rFonts w:ascii="Times New Roman" w:eastAsia="Times New Roman" w:hAnsi="Times New Roman" w:cs="Times New Roman"/>
              </w:rPr>
              <w:t>Latvia</w:t>
            </w:r>
            <w:proofErr w:type="spellEnd"/>
            <w:r w:rsidRPr="0036364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6364F">
              <w:rPr>
                <w:rFonts w:ascii="Times New Roman" w:eastAsia="Times New Roman" w:hAnsi="Times New Roman" w:cs="Times New Roman"/>
              </w:rPr>
              <w:t>Malta</w:t>
            </w:r>
            <w:proofErr w:type="spellEnd"/>
            <w:r w:rsidRPr="0036364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6364F">
              <w:rPr>
                <w:rFonts w:ascii="Times New Roman" w:eastAsia="Times New Roman" w:hAnsi="Times New Roman" w:cs="Times New Roman"/>
              </w:rPr>
              <w:t>Portugal</w:t>
            </w:r>
            <w:proofErr w:type="spellEnd"/>
            <w:r w:rsidRPr="0036364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6364F">
              <w:rPr>
                <w:rFonts w:ascii="Times New Roman" w:eastAsia="Times New Roman" w:hAnsi="Times New Roman" w:cs="Times New Roman"/>
              </w:rPr>
              <w:t>Slovakia</w:t>
            </w:r>
            <w:proofErr w:type="spellEnd"/>
            <w:r w:rsidRPr="0036364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6364F">
              <w:rPr>
                <w:rFonts w:ascii="Times New Roman" w:eastAsia="Times New Roman" w:hAnsi="Times New Roman" w:cs="Times New Roman"/>
              </w:rPr>
              <w:t>Slovenia</w:t>
            </w:r>
            <w:proofErr w:type="spellEnd"/>
            <w:r w:rsidRPr="0036364F">
              <w:rPr>
                <w:rFonts w:ascii="Times New Roman" w:eastAsia="Times New Roman" w:hAnsi="Times New Roman" w:cs="Times New Roman"/>
              </w:rPr>
              <w:t>, Spain</w:t>
            </w:r>
          </w:p>
          <w:p w14:paraId="76C3CC8B" w14:textId="4E8AA87D" w:rsidR="00BC7FBE" w:rsidRDefault="00BC7FBE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DA85" w14:textId="77777777" w:rsidR="00BC7FBE" w:rsidRDefault="00BC7FBE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 EUR</w:t>
            </w:r>
          </w:p>
        </w:tc>
      </w:tr>
      <w:tr w:rsidR="0036364F" w14:paraId="34509118" w14:textId="77777777" w:rsidTr="00570DA1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B04E" w14:textId="4884EE1F" w:rsidR="0036364F" w:rsidRPr="0036364F" w:rsidRDefault="0036364F" w:rsidP="00570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Bulgaria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North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Macedonia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Croatia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Hungary,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Lithuania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Poland, </w:t>
            </w:r>
            <w:proofErr w:type="spellStart"/>
            <w:proofErr w:type="gram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Romania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Serbia</w:t>
            </w:r>
            <w:proofErr w:type="spellEnd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2A4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75EE7" w14:textId="475BCD05" w:rsidR="0036364F" w:rsidRDefault="0036364F" w:rsidP="00570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 EUR</w:t>
            </w:r>
          </w:p>
        </w:tc>
      </w:tr>
    </w:tbl>
    <w:p w14:paraId="2C4A31D5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68EFF" w14:textId="77777777" w:rsidR="00460DF6" w:rsidRDefault="00DA38C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Support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living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scholarships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14:paraId="3A88A594" w14:textId="77777777" w:rsidR="00460DF6" w:rsidRDefault="00460D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8352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4"/>
        <w:gridCol w:w="2784"/>
        <w:gridCol w:w="2784"/>
      </w:tblGrid>
      <w:tr w:rsidR="00460DF6" w14:paraId="119535E0" w14:textId="77777777"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E98C" w14:textId="77777777" w:rsidR="00460DF6" w:rsidRDefault="00DA3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country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5DFA" w14:textId="77777777" w:rsidR="00460DF6" w:rsidRDefault="00DA3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(EUR)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098E" w14:textId="77777777" w:rsidR="00460DF6" w:rsidRDefault="00DA3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Internship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(EUR)</w:t>
            </w:r>
          </w:p>
        </w:tc>
      </w:tr>
      <w:tr w:rsidR="00460DF6" w14:paraId="0C81A195" w14:textId="77777777"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8913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Belgium,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Denmark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Finland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France,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Germany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Iceland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Ireland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Liechtenstein, Luxembourg,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Netherlands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Denmark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Finland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Germany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Iceland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Ireland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Liechtenstein, Luxembourg,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Netherlands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and 14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7684E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  Euro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6057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750 Euro </w:t>
            </w:r>
          </w:p>
        </w:tc>
      </w:tr>
      <w:tr w:rsidR="00460DF6" w14:paraId="2F2B79FC" w14:textId="77777777"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788A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Cyprus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Republic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Estonia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Hungary,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Portugal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Slovakia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Slovenia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Spain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34CD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Euro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F812E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750 Euro </w:t>
            </w:r>
          </w:p>
        </w:tc>
      </w:tr>
      <w:tr w:rsidR="00460DF6" w14:paraId="052B2281" w14:textId="77777777"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7BD5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Bulgaria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Macedonia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Croatia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Hungary,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Lithuania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Poland,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Serbia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  <w:proofErr w:type="spellEnd"/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7890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540 Euro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1283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 Euro </w:t>
            </w:r>
          </w:p>
        </w:tc>
      </w:tr>
      <w:tr w:rsidR="00460DF6" w14:paraId="27092BEB" w14:textId="77777777"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6C74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partner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(ICM)</w:t>
            </w:r>
          </w:p>
          <w:p w14:paraId="7D6883D1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excluding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and 14)</w:t>
            </w:r>
          </w:p>
          <w:p w14:paraId="2D95D56C" w14:textId="77777777" w:rsidR="00460DF6" w:rsidRDefault="00460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6AAC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 Euro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2B8B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 Euro </w:t>
            </w:r>
          </w:p>
        </w:tc>
      </w:tr>
      <w:tr w:rsidR="00460DF6" w14:paraId="2F329DAE" w14:textId="77777777"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6A798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Short-term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(BIP,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doctoral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482A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70 €/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proofErr w:type="spellEnd"/>
          </w:p>
          <w:p w14:paraId="64B533D8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€ 50)</w:t>
            </w:r>
          </w:p>
          <w:p w14:paraId="1692D557" w14:textId="77777777" w:rsidR="00460DF6" w:rsidRDefault="00460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255A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70 €/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proofErr w:type="spellEnd"/>
          </w:p>
          <w:p w14:paraId="5218B0C1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€ 50)</w:t>
            </w:r>
          </w:p>
          <w:p w14:paraId="1841CBC2" w14:textId="77777777" w:rsidR="00460DF6" w:rsidRDefault="00460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DF6" w14:paraId="4E5201C8" w14:textId="77777777"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EBA3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Erasmus+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Opportunities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Grant</w:t>
            </w:r>
          </w:p>
          <w:p w14:paraId="4D77945F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F83D746" w14:textId="77777777" w:rsidR="00460DF6" w:rsidRDefault="00460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A5AA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100 €</w:t>
            </w:r>
          </w:p>
          <w:p w14:paraId="4E6E7A18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F4ED6FD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150 €</w:t>
            </w:r>
          </w:p>
          <w:p w14:paraId="0E9A93CF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(15-30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  <w:proofErr w:type="spellEnd"/>
          </w:p>
          <w:p w14:paraId="5B253541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D78DC46" w14:textId="77777777" w:rsidR="00460DF6" w:rsidRDefault="00460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4537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100 €</w:t>
            </w:r>
          </w:p>
          <w:p w14:paraId="0C173C61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2741034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150 €</w:t>
            </w:r>
          </w:p>
          <w:p w14:paraId="699E9938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(15-30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  <w:proofErr w:type="spellEnd"/>
          </w:p>
          <w:p w14:paraId="0468DCC7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5EA7331" w14:textId="77777777" w:rsidR="00460DF6" w:rsidRDefault="00460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DF6" w14:paraId="70F1231A" w14:textId="77777777"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2D79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Erasmus+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Opportunities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Grant</w:t>
            </w:r>
          </w:p>
          <w:p w14:paraId="1CAC504E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9916F8B" w14:textId="77777777" w:rsidR="00460DF6" w:rsidRDefault="00460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EB9A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 Euro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B776B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 Euro </w:t>
            </w:r>
          </w:p>
        </w:tc>
      </w:tr>
      <w:tr w:rsidR="00460DF6" w14:paraId="33AE1081" w14:textId="77777777"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977A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(ICM-like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C070D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 EUR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4E92" w14:textId="77777777" w:rsidR="00460DF6" w:rsidRDefault="00DA38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 EUR</w:t>
            </w:r>
          </w:p>
        </w:tc>
      </w:tr>
    </w:tbl>
    <w:p w14:paraId="37BBFA0F" w14:textId="77777777" w:rsidR="00460DF6" w:rsidRDefault="00460D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4D915" w14:textId="77777777" w:rsidR="00460DF6" w:rsidRDefault="00460D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8C6FB" w14:textId="77777777" w:rsidR="00460DF6" w:rsidRDefault="00DA3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Erasmus+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winning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5DB6688B" w14:textId="77777777" w:rsidR="00460DF6" w:rsidRDefault="00DA38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D582C6" w14:textId="77777777" w:rsidR="00460DF6" w:rsidRDefault="00DA38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Erasmus+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scholarship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abroad</w:t>
      </w:r>
      <w:proofErr w:type="spellEnd"/>
    </w:p>
    <w:p w14:paraId="4F06BD72" w14:textId="77777777" w:rsidR="00460DF6" w:rsidRDefault="00DA38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preparing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</w:t>
      </w:r>
      <w:proofErr w:type="spellEnd"/>
    </w:p>
    <w:p w14:paraId="5C1986AE" w14:textId="77777777" w:rsidR="006A6715" w:rsidRDefault="006A67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29BCF0" w14:textId="7331E48A" w:rsidR="00460DF6" w:rsidRDefault="00DA3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Eligibility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criteria</w:t>
      </w:r>
      <w:proofErr w:type="spellEnd"/>
    </w:p>
    <w:p w14:paraId="0C422C2A" w14:textId="77777777" w:rsidR="00460DF6" w:rsidRDefault="00DA3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apply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61A50D2A" w14:textId="77777777" w:rsidR="00460DF6" w:rsidRDefault="00DA38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Wesley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3F6F028" w14:textId="77777777" w:rsidR="00460DF6" w:rsidRDefault="00DA38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Hungarian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citizens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hold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permanent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permit; </w:t>
      </w:r>
    </w:p>
    <w:p w14:paraId="0367F797" w14:textId="77777777" w:rsidR="00460DF6" w:rsidRDefault="00DA38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semester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46921327" w14:textId="77777777" w:rsidR="00460DF6" w:rsidRDefault="00DA38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adequate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F59AF4" w14:textId="77777777" w:rsidR="00460DF6" w:rsidRDefault="00DA38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46700A" w14:textId="77777777" w:rsidR="00460DF6" w:rsidRDefault="00DA38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3,5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44EA9B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8EDE9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Duration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scholarship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62FBE6EC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2-12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scholarships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6DF6C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FB60E" w14:textId="77777777" w:rsidR="00861F05" w:rsidRDefault="00861F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392940" w14:textId="77777777" w:rsidR="00861F05" w:rsidRDefault="00861F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61D74" w14:textId="77482ED2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Documents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submit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E4E8A6" w14:textId="77777777" w:rsidR="00460DF6" w:rsidRDefault="00DA38C6">
      <w:pPr>
        <w:numPr>
          <w:ilvl w:val="0"/>
          <w:numId w:val="4"/>
        </w:numPr>
        <w:tabs>
          <w:tab w:val="left" w:pos="78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CV (in English)</w:t>
      </w:r>
    </w:p>
    <w:p w14:paraId="16BDE560" w14:textId="77777777" w:rsidR="00460DF6" w:rsidRDefault="00DA38C6">
      <w:pPr>
        <w:numPr>
          <w:ilvl w:val="0"/>
          <w:numId w:val="4"/>
        </w:numPr>
        <w:tabs>
          <w:tab w:val="left" w:pos="78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(in English):</w:t>
      </w:r>
    </w:p>
    <w:p w14:paraId="0E1548C7" w14:textId="77777777" w:rsidR="00460DF6" w:rsidRDefault="00DA38C6">
      <w:pPr>
        <w:tabs>
          <w:tab w:val="left" w:pos="7845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195B6E9" w14:textId="77777777" w:rsidR="00460DF6" w:rsidRDefault="00DA38C6">
      <w:pPr>
        <w:tabs>
          <w:tab w:val="left" w:pos="7845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worthwhile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advantages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counterpart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796E076" w14:textId="77777777" w:rsidR="00460DF6" w:rsidRDefault="00DA38C6">
      <w:pPr>
        <w:tabs>
          <w:tab w:val="left" w:pos="7845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22DE437" w14:textId="77777777" w:rsidR="00460DF6" w:rsidRDefault="00DA38C6">
      <w:pPr>
        <w:tabs>
          <w:tab w:val="left" w:pos="7845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involved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Wesley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College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598C130" w14:textId="77777777" w:rsidR="00460DF6" w:rsidRDefault="00DA38C6">
      <w:pPr>
        <w:numPr>
          <w:ilvl w:val="0"/>
          <w:numId w:val="4"/>
        </w:numPr>
        <w:tabs>
          <w:tab w:val="left" w:pos="78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workplan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in English and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abroad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program):</w:t>
      </w:r>
    </w:p>
    <w:p w14:paraId="4038128D" w14:textId="77777777" w:rsidR="00460DF6" w:rsidRDefault="00DA38C6">
      <w:pPr>
        <w:tabs>
          <w:tab w:val="left" w:pos="7845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enterprise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enterprise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organisation’s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beforehand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2C79F9" w14:textId="77777777" w:rsidR="00460DF6" w:rsidRDefault="00DA38C6">
      <w:pPr>
        <w:numPr>
          <w:ilvl w:val="0"/>
          <w:numId w:val="4"/>
        </w:numPr>
        <w:tabs>
          <w:tab w:val="left" w:pos="78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printed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Office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College </w:t>
      </w:r>
    </w:p>
    <w:p w14:paraId="3F501BA0" w14:textId="77777777" w:rsidR="00460DF6" w:rsidRDefault="00DA38C6">
      <w:pPr>
        <w:numPr>
          <w:ilvl w:val="0"/>
          <w:numId w:val="4"/>
        </w:numPr>
        <w:tabs>
          <w:tab w:val="left" w:pos="78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Hungarian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settlement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permit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refugee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status</w:t>
      </w:r>
    </w:p>
    <w:p w14:paraId="7F409E9D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1F6E7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Deadline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method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39DE26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attachments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must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Erasmus+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coordinator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College: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erasmusmobility@wjlf.hu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0C36BC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84248" w14:textId="1001CDE0" w:rsidR="00460DF6" w:rsidRDefault="00DA38C6" w:rsidP="00A01B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Deadline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submission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possible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continuous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basis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037CCD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Evaluation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applications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submitted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2D7AA99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Erasmus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B89F87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Erasmus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decision.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updated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email.</w:t>
      </w:r>
    </w:p>
    <w:p w14:paraId="63CCBFC1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5346B" w14:textId="77777777" w:rsidR="00460DF6" w:rsidRDefault="00DA3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down 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established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Erasmus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14:paraId="3418B687" w14:textId="77777777" w:rsidR="00460DF6" w:rsidRDefault="00DA3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331F21B9" w14:textId="77777777" w:rsidR="00460DF6" w:rsidRDefault="00DA3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achievement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4C5D9763" w14:textId="77777777" w:rsidR="00460DF6" w:rsidRDefault="00DA3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professional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D85A15C" w14:textId="77777777" w:rsidR="00460DF6" w:rsidRDefault="00DA3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activity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4A8C0B95" w14:textId="77777777" w:rsidR="00460DF6" w:rsidRDefault="00460D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A51FB4" w14:textId="77777777" w:rsidR="00460DF6" w:rsidRDefault="00DA3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Erasmus+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preparation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4EBE2EA8" w14:textId="77777777" w:rsidR="00460DF6" w:rsidRDefault="00460D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0BD04" w14:textId="77777777" w:rsidR="00460DF6" w:rsidRDefault="00DA38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Budapest, 5th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2024.</w:t>
      </w:r>
    </w:p>
    <w:p w14:paraId="2A30486D" w14:textId="77777777" w:rsidR="00460DF6" w:rsidRDefault="00DA38C6">
      <w:pPr>
        <w:tabs>
          <w:tab w:val="left" w:pos="7845"/>
        </w:tabs>
        <w:jc w:val="right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We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wish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you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successful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application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!</w:t>
      </w:r>
    </w:p>
    <w:p w14:paraId="19574EBF" w14:textId="77777777" w:rsidR="00460DF6" w:rsidRDefault="00460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60DF6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3A25C" w14:textId="77777777" w:rsidR="00BE265E" w:rsidRDefault="00BE265E">
      <w:pPr>
        <w:spacing w:after="0" w:line="240" w:lineRule="auto"/>
      </w:pPr>
      <w:r>
        <w:separator/>
      </w:r>
    </w:p>
  </w:endnote>
  <w:endnote w:type="continuationSeparator" w:id="0">
    <w:p w14:paraId="7B51EBDD" w14:textId="77777777" w:rsidR="00BE265E" w:rsidRDefault="00BE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524D" w14:textId="77777777" w:rsidR="00460DF6" w:rsidRDefault="00DA38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7FBE">
      <w:rPr>
        <w:noProof/>
        <w:color w:val="000000"/>
      </w:rPr>
      <w:t>1</w:t>
    </w:r>
    <w:r>
      <w:rPr>
        <w:color w:val="000000"/>
      </w:rPr>
      <w:fldChar w:fldCharType="end"/>
    </w:r>
  </w:p>
  <w:p w14:paraId="2FA03BAD" w14:textId="77777777" w:rsidR="00460DF6" w:rsidRDefault="00460D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55748" w14:textId="77777777" w:rsidR="00BE265E" w:rsidRDefault="00BE265E">
      <w:pPr>
        <w:spacing w:after="0" w:line="240" w:lineRule="auto"/>
      </w:pPr>
      <w:r>
        <w:separator/>
      </w:r>
    </w:p>
  </w:footnote>
  <w:footnote w:type="continuationSeparator" w:id="0">
    <w:p w14:paraId="7ED1D4B7" w14:textId="77777777" w:rsidR="00BE265E" w:rsidRDefault="00BE265E">
      <w:pPr>
        <w:spacing w:after="0" w:line="240" w:lineRule="auto"/>
      </w:pPr>
      <w:r>
        <w:continuationSeparator/>
      </w:r>
    </w:p>
  </w:footnote>
  <w:footnote w:id="1">
    <w:p w14:paraId="4CAE962D" w14:textId="575F3B15" w:rsidR="00460DF6" w:rsidRDefault="00DA38C6" w:rsidP="00725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E+ </w:t>
      </w:r>
      <w:proofErr w:type="spellStart"/>
      <w:r>
        <w:rPr>
          <w:color w:val="000000"/>
          <w:sz w:val="20"/>
          <w:szCs w:val="20"/>
        </w:rPr>
        <w:t>programme</w:t>
      </w:r>
      <w:proofErr w:type="spellEnd"/>
      <w:r>
        <w:rPr>
          <w:color w:val="000000"/>
          <w:sz w:val="20"/>
          <w:szCs w:val="20"/>
        </w:rPr>
        <w:t xml:space="preserve"> guide-202</w:t>
      </w:r>
      <w:r w:rsidR="00725177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: </w:t>
      </w:r>
      <w:r w:rsidR="00725177" w:rsidRPr="00725177">
        <w:rPr>
          <w:color w:val="000000"/>
          <w:sz w:val="20"/>
          <w:szCs w:val="20"/>
        </w:rPr>
        <w:t>https://erasmus-plus.ec.europa.eu/sites/default/files/2023-11/2024-Erasmus%2BProgramme-Guide_EN.pdf</w:t>
      </w:r>
    </w:p>
  </w:footnote>
  <w:footnote w:id="2">
    <w:p w14:paraId="60C408D9" w14:textId="77777777" w:rsidR="00460DF6" w:rsidRDefault="00DA38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further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information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please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refer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College's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Regulations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Chapter</w:t>
      </w:r>
      <w:proofErr w:type="spellEnd"/>
      <w:r>
        <w:rPr>
          <w:color w:val="000000"/>
          <w:sz w:val="20"/>
          <w:szCs w:val="20"/>
        </w:rPr>
        <w:t xml:space="preserve"> III.F.: </w:t>
      </w:r>
      <w:hyperlink r:id="rId1">
        <w:r>
          <w:rPr>
            <w:color w:val="0000FF"/>
            <w:sz w:val="20"/>
            <w:szCs w:val="20"/>
            <w:u w:val="single"/>
          </w:rPr>
          <w:t>https://wesley.hu/letoltes/szervezeti-es-mukodesi-szabalyzat-2020-szeptember-2/</w:t>
        </w:r>
      </w:hyperlink>
      <w:r>
        <w:rPr>
          <w:color w:val="000000"/>
          <w:sz w:val="20"/>
          <w:szCs w:val="20"/>
        </w:rPr>
        <w:t xml:space="preserve"> </w:t>
      </w:r>
    </w:p>
  </w:footnote>
  <w:footnote w:id="3">
    <w:p w14:paraId="5B945821" w14:textId="77777777" w:rsidR="00460DF6" w:rsidRDefault="00DA38C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Mobility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partner </w:t>
      </w:r>
      <w:proofErr w:type="spellStart"/>
      <w:r>
        <w:rPr>
          <w:sz w:val="20"/>
          <w:szCs w:val="20"/>
        </w:rPr>
        <w:t>countries</w:t>
      </w:r>
      <w:proofErr w:type="spellEnd"/>
      <w:r>
        <w:rPr>
          <w:sz w:val="20"/>
          <w:szCs w:val="20"/>
        </w:rPr>
        <w:t xml:space="preserve"> is </w:t>
      </w:r>
      <w:proofErr w:type="spellStart"/>
      <w:r>
        <w:rPr>
          <w:sz w:val="20"/>
          <w:szCs w:val="20"/>
        </w:rPr>
        <w:t>subject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a limited </w:t>
      </w:r>
      <w:proofErr w:type="spellStart"/>
      <w:r>
        <w:rPr>
          <w:sz w:val="20"/>
          <w:szCs w:val="20"/>
        </w:rPr>
        <w:t>funding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quota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up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a maximum of </w:t>
      </w:r>
      <w:proofErr w:type="spellStart"/>
      <w:r>
        <w:rPr>
          <w:sz w:val="20"/>
          <w:szCs w:val="20"/>
        </w:rPr>
        <w:t>around</w:t>
      </w:r>
      <w:proofErr w:type="spellEnd"/>
      <w:r>
        <w:rPr>
          <w:sz w:val="20"/>
          <w:szCs w:val="20"/>
        </w:rPr>
        <w:t xml:space="preserve"> 20%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mobility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supported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supported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mobility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a partner country.</w:t>
      </w:r>
    </w:p>
    <w:p w14:paraId="6505C805" w14:textId="77777777" w:rsidR="00460DF6" w:rsidRDefault="00460DF6">
      <w:pPr>
        <w:spacing w:after="0" w:line="240" w:lineRule="auto"/>
        <w:rPr>
          <w:sz w:val="20"/>
          <w:szCs w:val="20"/>
        </w:rPr>
      </w:pPr>
    </w:p>
  </w:footnote>
  <w:footnote w:id="4">
    <w:p w14:paraId="29D76672" w14:textId="77777777" w:rsidR="00460DF6" w:rsidRDefault="00DA38C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first-year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students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only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previous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semester's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point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average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taken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into</w:t>
      </w:r>
      <w:proofErr w:type="spellEnd"/>
      <w:r>
        <w:rPr>
          <w:sz w:val="20"/>
          <w:szCs w:val="20"/>
        </w:rPr>
        <w:t xml:space="preserve"> account.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0765A"/>
    <w:multiLevelType w:val="multilevel"/>
    <w:tmpl w:val="3C18E1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0620AE"/>
    <w:multiLevelType w:val="multilevel"/>
    <w:tmpl w:val="B6C2B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EF4A62"/>
    <w:multiLevelType w:val="multilevel"/>
    <w:tmpl w:val="89F03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7409C5"/>
    <w:multiLevelType w:val="multilevel"/>
    <w:tmpl w:val="D2081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3C72C7"/>
    <w:multiLevelType w:val="multilevel"/>
    <w:tmpl w:val="3D32F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9320B3"/>
    <w:multiLevelType w:val="multilevel"/>
    <w:tmpl w:val="40DA4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054411"/>
    <w:multiLevelType w:val="multilevel"/>
    <w:tmpl w:val="26947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F6"/>
    <w:rsid w:val="00112990"/>
    <w:rsid w:val="0036364F"/>
    <w:rsid w:val="00460DF6"/>
    <w:rsid w:val="006A6715"/>
    <w:rsid w:val="00725177"/>
    <w:rsid w:val="00861F05"/>
    <w:rsid w:val="00A01B32"/>
    <w:rsid w:val="00BC7FBE"/>
    <w:rsid w:val="00BE265E"/>
    <w:rsid w:val="00CD1FF1"/>
    <w:rsid w:val="00DA38C6"/>
    <w:rsid w:val="00F0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9771"/>
  <w15:docId w15:val="{E176FE1E-6B52-4F03-9C5B-123A8A9A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u-HU" w:eastAsia="ro-RO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BE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176C72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">
    <w:name w:val="Élőfej Char"/>
    <w:basedOn w:val="Fontdeparagrafimplicit"/>
    <w:uiPriority w:val="99"/>
    <w:rsid w:val="00176C72"/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0">
    <w:name w:val="Élőfej Char"/>
    <w:basedOn w:val="Fontdeparagrafimplicit"/>
    <w:uiPriority w:val="99"/>
    <w:rsid w:val="00176C72"/>
  </w:style>
  <w:style w:type="paragraph" w:styleId="Subsol">
    <w:name w:val="footer"/>
    <w:basedOn w:val="Normal"/>
    <w:link w:val="SubsolCaracter"/>
    <w:uiPriority w:val="99"/>
    <w:unhideWhenUsed/>
    <w:rsid w:val="00176C72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1">
    <w:name w:val="Élőfej Char"/>
    <w:basedOn w:val="Fontdeparagrafimplicit"/>
    <w:uiPriority w:val="99"/>
    <w:rsid w:val="00176C72"/>
  </w:style>
  <w:style w:type="character" w:customStyle="1" w:styleId="llbChar">
    <w:name w:val="Élőláb Char"/>
    <w:basedOn w:val="Fontdeparagrafimplicit"/>
    <w:uiPriority w:val="99"/>
    <w:rsid w:val="00176C72"/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2">
    <w:name w:val="Élőfej Char"/>
    <w:basedOn w:val="Fontdeparagrafimplicit"/>
    <w:uiPriority w:val="99"/>
    <w:rsid w:val="00176C72"/>
  </w:style>
  <w:style w:type="character" w:customStyle="1" w:styleId="llbChar0">
    <w:name w:val="Élőláb Char"/>
    <w:basedOn w:val="Fontdeparagrafimplicit"/>
    <w:uiPriority w:val="99"/>
    <w:rsid w:val="00176C72"/>
  </w:style>
  <w:style w:type="paragraph" w:customStyle="1" w:styleId="Default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3">
    <w:name w:val="Élőfej Char"/>
    <w:basedOn w:val="Fontdeparagrafimplicit"/>
    <w:uiPriority w:val="99"/>
    <w:rsid w:val="00176C72"/>
  </w:style>
  <w:style w:type="character" w:customStyle="1" w:styleId="llbChar1">
    <w:name w:val="Élőláb Char"/>
    <w:basedOn w:val="Fontdeparagrafimplicit"/>
    <w:uiPriority w:val="99"/>
    <w:rsid w:val="00176C72"/>
  </w:style>
  <w:style w:type="paragraph" w:customStyle="1" w:styleId="Default0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C0320"/>
    <w:pPr>
      <w:spacing w:after="0" w:line="240" w:lineRule="auto"/>
    </w:pPr>
    <w:rPr>
      <w:sz w:val="20"/>
      <w:szCs w:val="20"/>
    </w:r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4">
    <w:name w:val="Élőfej Char"/>
    <w:basedOn w:val="Fontdeparagrafimplicit"/>
    <w:uiPriority w:val="99"/>
    <w:rsid w:val="00176C72"/>
  </w:style>
  <w:style w:type="character" w:customStyle="1" w:styleId="llbChar2">
    <w:name w:val="Élőláb Char"/>
    <w:basedOn w:val="Fontdeparagrafimplicit"/>
    <w:uiPriority w:val="99"/>
    <w:rsid w:val="00176C72"/>
  </w:style>
  <w:style w:type="paragraph" w:customStyle="1" w:styleId="Default1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5">
    <w:name w:val="Élőfej Char"/>
    <w:basedOn w:val="Fontdeparagrafimplicit"/>
    <w:uiPriority w:val="99"/>
    <w:rsid w:val="00176C72"/>
  </w:style>
  <w:style w:type="character" w:customStyle="1" w:styleId="llbChar3">
    <w:name w:val="Élőláb Char"/>
    <w:basedOn w:val="Fontdeparagrafimplicit"/>
    <w:uiPriority w:val="99"/>
    <w:rsid w:val="00176C72"/>
  </w:style>
  <w:style w:type="paragraph" w:customStyle="1" w:styleId="Default2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0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AC0320"/>
    <w:rPr>
      <w:vertAlign w:val="superscript"/>
    </w:r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6">
    <w:name w:val="Élőfej Char"/>
    <w:basedOn w:val="Fontdeparagrafimplicit"/>
    <w:uiPriority w:val="99"/>
    <w:rsid w:val="00176C72"/>
  </w:style>
  <w:style w:type="character" w:customStyle="1" w:styleId="llbChar4">
    <w:name w:val="Élőláb Char"/>
    <w:basedOn w:val="Fontdeparagrafimplicit"/>
    <w:uiPriority w:val="99"/>
    <w:rsid w:val="00176C72"/>
  </w:style>
  <w:style w:type="paragraph" w:customStyle="1" w:styleId="Default3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1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7">
    <w:name w:val="Élőfej Char"/>
    <w:basedOn w:val="Fontdeparagrafimplicit"/>
    <w:uiPriority w:val="99"/>
    <w:rsid w:val="00176C72"/>
  </w:style>
  <w:style w:type="character" w:customStyle="1" w:styleId="llbChar5">
    <w:name w:val="Élőláb Char"/>
    <w:basedOn w:val="Fontdeparagrafimplicit"/>
    <w:uiPriority w:val="99"/>
    <w:rsid w:val="00176C72"/>
  </w:style>
  <w:style w:type="paragraph" w:customStyle="1" w:styleId="Default4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2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paragraph" w:styleId="Listparagraf">
    <w:name w:val="List Paragraph"/>
    <w:basedOn w:val="Normal"/>
    <w:uiPriority w:val="34"/>
    <w:qFormat/>
    <w:rsid w:val="002564CA"/>
    <w:pPr>
      <w:ind w:left="720"/>
      <w:contextualSpacing/>
    </w:p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8">
    <w:name w:val="Élőfej Char"/>
    <w:basedOn w:val="Fontdeparagrafimplicit"/>
    <w:uiPriority w:val="99"/>
    <w:rsid w:val="00176C72"/>
  </w:style>
  <w:style w:type="character" w:customStyle="1" w:styleId="llbChar6">
    <w:name w:val="Élőláb Char"/>
    <w:basedOn w:val="Fontdeparagrafimplicit"/>
    <w:uiPriority w:val="99"/>
    <w:rsid w:val="00176C72"/>
  </w:style>
  <w:style w:type="paragraph" w:customStyle="1" w:styleId="Default5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3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7776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9">
    <w:name w:val="Élőfej Char"/>
    <w:basedOn w:val="Fontdeparagrafimplicit"/>
    <w:uiPriority w:val="99"/>
    <w:rsid w:val="00176C72"/>
  </w:style>
  <w:style w:type="character" w:customStyle="1" w:styleId="llbChar7">
    <w:name w:val="Élőláb Char"/>
    <w:basedOn w:val="Fontdeparagrafimplicit"/>
    <w:uiPriority w:val="99"/>
    <w:rsid w:val="00176C72"/>
  </w:style>
  <w:style w:type="paragraph" w:customStyle="1" w:styleId="Default6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4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character" w:customStyle="1" w:styleId="BuborkszvegChar">
    <w:name w:val="Buborékszöveg Char"/>
    <w:basedOn w:val="Fontdeparagrafimplicit"/>
    <w:uiPriority w:val="99"/>
    <w:semiHidden/>
    <w:rsid w:val="00447776"/>
    <w:rPr>
      <w:rFonts w:ascii="Tahoma" w:hAnsi="Tahoma" w:cs="Tahoma"/>
      <w:sz w:val="16"/>
      <w:szCs w:val="16"/>
    </w:r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a">
    <w:name w:val="Élőfej Char"/>
    <w:basedOn w:val="Fontdeparagrafimplicit"/>
    <w:uiPriority w:val="99"/>
    <w:rsid w:val="00176C72"/>
  </w:style>
  <w:style w:type="character" w:customStyle="1" w:styleId="llbChar8">
    <w:name w:val="Élőláb Char"/>
    <w:basedOn w:val="Fontdeparagrafimplicit"/>
    <w:uiPriority w:val="99"/>
    <w:rsid w:val="00176C72"/>
  </w:style>
  <w:style w:type="paragraph" w:customStyle="1" w:styleId="Default7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5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character" w:customStyle="1" w:styleId="BuborkszvegChar0">
    <w:name w:val="Buborékszöveg Char"/>
    <w:basedOn w:val="Fontdeparagrafimplicit"/>
    <w:uiPriority w:val="99"/>
    <w:semiHidden/>
    <w:rsid w:val="00447776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220D71"/>
    <w:rPr>
      <w:color w:val="0000FF" w:themeColor="hyperlink"/>
      <w:u w:val="single"/>
    </w:r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b">
    <w:name w:val="Élőfej Char"/>
    <w:basedOn w:val="Fontdeparagrafimplicit"/>
    <w:uiPriority w:val="99"/>
    <w:rsid w:val="00176C72"/>
  </w:style>
  <w:style w:type="character" w:customStyle="1" w:styleId="llbChar9">
    <w:name w:val="Élőláb Char"/>
    <w:basedOn w:val="Fontdeparagrafimplicit"/>
    <w:uiPriority w:val="99"/>
    <w:rsid w:val="00176C72"/>
  </w:style>
  <w:style w:type="paragraph" w:customStyle="1" w:styleId="Default8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6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character" w:customStyle="1" w:styleId="BuborkszvegChar1">
    <w:name w:val="Buborékszöveg Char"/>
    <w:basedOn w:val="Fontdeparagrafimplicit"/>
    <w:uiPriority w:val="99"/>
    <w:semiHidden/>
    <w:rsid w:val="00447776"/>
    <w:rPr>
      <w:rFonts w:ascii="Tahoma" w:hAnsi="Tahoma" w:cs="Tahoma"/>
      <w:sz w:val="16"/>
      <w:szCs w:val="16"/>
    </w:rPr>
  </w:style>
  <w:style w:type="paragraph" w:styleId="Revizuire">
    <w:name w:val="Revision"/>
    <w:hidden/>
    <w:uiPriority w:val="99"/>
    <w:semiHidden/>
    <w:rsid w:val="00982D65"/>
    <w:pPr>
      <w:spacing w:after="0" w:line="240" w:lineRule="auto"/>
    </w:p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c">
    <w:name w:val="Élőfej Char"/>
    <w:basedOn w:val="Fontdeparagrafimplicit"/>
    <w:uiPriority w:val="99"/>
    <w:rsid w:val="00176C72"/>
  </w:style>
  <w:style w:type="character" w:customStyle="1" w:styleId="llbChara">
    <w:name w:val="Élőláb Char"/>
    <w:basedOn w:val="Fontdeparagrafimplicit"/>
    <w:uiPriority w:val="99"/>
    <w:rsid w:val="00176C72"/>
  </w:style>
  <w:style w:type="paragraph" w:customStyle="1" w:styleId="Default9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7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character" w:customStyle="1" w:styleId="BuborkszvegChar2">
    <w:name w:val="Buborékszöveg Char"/>
    <w:basedOn w:val="Fontdeparagrafimplicit"/>
    <w:uiPriority w:val="99"/>
    <w:semiHidden/>
    <w:rsid w:val="00447776"/>
    <w:rPr>
      <w:rFonts w:ascii="Tahoma" w:hAnsi="Tahoma" w:cs="Tahoma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982D65"/>
    <w:rPr>
      <w:sz w:val="16"/>
      <w:szCs w:val="16"/>
    </w:r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d">
    <w:name w:val="Élőfej Char"/>
    <w:basedOn w:val="Fontdeparagrafimplicit"/>
    <w:uiPriority w:val="99"/>
    <w:rsid w:val="00176C72"/>
  </w:style>
  <w:style w:type="character" w:customStyle="1" w:styleId="llbCharb">
    <w:name w:val="Élőláb Char"/>
    <w:basedOn w:val="Fontdeparagrafimplicit"/>
    <w:uiPriority w:val="99"/>
    <w:rsid w:val="00176C72"/>
  </w:style>
  <w:style w:type="paragraph" w:customStyle="1" w:styleId="Defaulta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8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character" w:customStyle="1" w:styleId="BuborkszvegChar3">
    <w:name w:val="Buborékszöveg Char"/>
    <w:basedOn w:val="Fontdeparagrafimplicit"/>
    <w:uiPriority w:val="99"/>
    <w:semiHidden/>
    <w:rsid w:val="00447776"/>
    <w:rPr>
      <w:rFonts w:ascii="Tahoma" w:hAnsi="Tahoma" w:cs="Tahoma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82D65"/>
    <w:pPr>
      <w:spacing w:line="240" w:lineRule="auto"/>
    </w:pPr>
    <w:rPr>
      <w:sz w:val="20"/>
      <w:szCs w:val="20"/>
    </w:r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e">
    <w:name w:val="Élőfej Char"/>
    <w:basedOn w:val="Fontdeparagrafimplicit"/>
    <w:uiPriority w:val="99"/>
    <w:rsid w:val="00176C72"/>
  </w:style>
  <w:style w:type="character" w:customStyle="1" w:styleId="llbCharc">
    <w:name w:val="Élőláb Char"/>
    <w:basedOn w:val="Fontdeparagrafimplicit"/>
    <w:uiPriority w:val="99"/>
    <w:rsid w:val="00176C72"/>
  </w:style>
  <w:style w:type="paragraph" w:customStyle="1" w:styleId="Defaultb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9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character" w:customStyle="1" w:styleId="BuborkszvegChar4">
    <w:name w:val="Buborékszöveg Char"/>
    <w:basedOn w:val="Fontdeparagrafimplicit"/>
    <w:uiPriority w:val="99"/>
    <w:semiHidden/>
    <w:rsid w:val="00447776"/>
    <w:rPr>
      <w:rFonts w:ascii="Tahoma" w:hAnsi="Tahoma" w:cs="Tahoma"/>
      <w:sz w:val="16"/>
      <w:szCs w:val="16"/>
    </w:rPr>
  </w:style>
  <w:style w:type="character" w:customStyle="1" w:styleId="JegyzetszvegChar">
    <w:name w:val="Jegyzetszöveg Char"/>
    <w:basedOn w:val="Fontdeparagrafimplicit"/>
    <w:uiPriority w:val="99"/>
    <w:semiHidden/>
    <w:rsid w:val="00982D65"/>
    <w:rPr>
      <w:sz w:val="20"/>
      <w:szCs w:val="20"/>
    </w:r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f">
    <w:name w:val="Élőfej Char"/>
    <w:basedOn w:val="Fontdeparagrafimplicit"/>
    <w:uiPriority w:val="99"/>
    <w:rsid w:val="00176C72"/>
  </w:style>
  <w:style w:type="character" w:customStyle="1" w:styleId="llbChard">
    <w:name w:val="Élőláb Char"/>
    <w:basedOn w:val="Fontdeparagrafimplicit"/>
    <w:uiPriority w:val="99"/>
    <w:rsid w:val="00176C72"/>
  </w:style>
  <w:style w:type="paragraph" w:customStyle="1" w:styleId="Defaultc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a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character" w:customStyle="1" w:styleId="BuborkszvegChar5">
    <w:name w:val="Buborékszöveg Char"/>
    <w:basedOn w:val="Fontdeparagrafimplicit"/>
    <w:uiPriority w:val="99"/>
    <w:semiHidden/>
    <w:rsid w:val="00447776"/>
    <w:rPr>
      <w:rFonts w:ascii="Tahoma" w:hAnsi="Tahoma" w:cs="Tahoma"/>
      <w:sz w:val="16"/>
      <w:szCs w:val="16"/>
    </w:rPr>
  </w:style>
  <w:style w:type="character" w:customStyle="1" w:styleId="JegyzetszvegChar0">
    <w:name w:val="Jegyzetszöveg Char"/>
    <w:basedOn w:val="Fontdeparagrafimplicit"/>
    <w:uiPriority w:val="99"/>
    <w:semiHidden/>
    <w:rsid w:val="00982D6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82D65"/>
    <w:rPr>
      <w:b/>
      <w:bCs/>
    </w:r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f0">
    <w:name w:val="Élőfej Char"/>
    <w:basedOn w:val="Fontdeparagrafimplicit"/>
    <w:uiPriority w:val="99"/>
    <w:rsid w:val="00176C72"/>
  </w:style>
  <w:style w:type="character" w:customStyle="1" w:styleId="llbChare">
    <w:name w:val="Élőláb Char"/>
    <w:basedOn w:val="Fontdeparagrafimplicit"/>
    <w:uiPriority w:val="99"/>
    <w:rsid w:val="00176C72"/>
  </w:style>
  <w:style w:type="paragraph" w:customStyle="1" w:styleId="Defaultd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b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character" w:customStyle="1" w:styleId="BuborkszvegChar6">
    <w:name w:val="Buborékszöveg Char"/>
    <w:basedOn w:val="Fontdeparagrafimplicit"/>
    <w:uiPriority w:val="99"/>
    <w:semiHidden/>
    <w:rsid w:val="00447776"/>
    <w:rPr>
      <w:rFonts w:ascii="Tahoma" w:hAnsi="Tahoma" w:cs="Tahoma"/>
      <w:sz w:val="16"/>
      <w:szCs w:val="16"/>
    </w:rPr>
  </w:style>
  <w:style w:type="character" w:customStyle="1" w:styleId="JegyzetszvegChar1">
    <w:name w:val="Jegyzetszöveg Char"/>
    <w:basedOn w:val="Fontdeparagrafimplicit"/>
    <w:uiPriority w:val="99"/>
    <w:semiHidden/>
    <w:rsid w:val="00982D65"/>
    <w:rPr>
      <w:sz w:val="20"/>
      <w:szCs w:val="20"/>
    </w:rPr>
  </w:style>
  <w:style w:type="character" w:customStyle="1" w:styleId="MegjegyzstrgyaChar">
    <w:name w:val="Megjegyzés tárgya Char"/>
    <w:basedOn w:val="JegyzetszvegChar1"/>
    <w:uiPriority w:val="99"/>
    <w:semiHidden/>
    <w:rsid w:val="00982D65"/>
    <w:rPr>
      <w:b/>
      <w:bCs/>
      <w:sz w:val="20"/>
      <w:szCs w:val="20"/>
    </w:r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f1">
    <w:name w:val="Élőfej Char"/>
    <w:basedOn w:val="Fontdeparagrafimplicit"/>
    <w:uiPriority w:val="99"/>
    <w:rsid w:val="00176C72"/>
  </w:style>
  <w:style w:type="character" w:customStyle="1" w:styleId="llbCharf">
    <w:name w:val="Élőláb Char"/>
    <w:basedOn w:val="Fontdeparagrafimplicit"/>
    <w:uiPriority w:val="99"/>
    <w:rsid w:val="00176C72"/>
  </w:style>
  <w:style w:type="paragraph" w:customStyle="1" w:styleId="Defaulte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c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character" w:customStyle="1" w:styleId="BuborkszvegChar7">
    <w:name w:val="Buborékszöveg Char"/>
    <w:basedOn w:val="Fontdeparagrafimplicit"/>
    <w:uiPriority w:val="99"/>
    <w:semiHidden/>
    <w:rsid w:val="00447776"/>
    <w:rPr>
      <w:rFonts w:ascii="Tahoma" w:hAnsi="Tahoma" w:cs="Tahoma"/>
      <w:sz w:val="16"/>
      <w:szCs w:val="16"/>
    </w:rPr>
  </w:style>
  <w:style w:type="character" w:customStyle="1" w:styleId="JegyzetszvegChar2">
    <w:name w:val="Jegyzetszöveg Char"/>
    <w:basedOn w:val="Fontdeparagrafimplicit"/>
    <w:uiPriority w:val="99"/>
    <w:semiHidden/>
    <w:rsid w:val="00982D65"/>
    <w:rPr>
      <w:sz w:val="20"/>
      <w:szCs w:val="20"/>
    </w:rPr>
  </w:style>
  <w:style w:type="character" w:customStyle="1" w:styleId="MegjegyzstrgyaChar0">
    <w:name w:val="Megjegyzés tárgya Char"/>
    <w:basedOn w:val="JegyzetszvegChar2"/>
    <w:uiPriority w:val="99"/>
    <w:semiHidden/>
    <w:rsid w:val="00982D65"/>
    <w:rPr>
      <w:b/>
      <w:bCs/>
      <w:sz w:val="20"/>
      <w:szCs w:val="20"/>
    </w:rPr>
  </w:style>
  <w:style w:type="character" w:styleId="HyperlinkParcurs">
    <w:name w:val="FollowedHyperlink"/>
    <w:basedOn w:val="Fontdeparagrafimplicit"/>
    <w:uiPriority w:val="99"/>
    <w:semiHidden/>
    <w:unhideWhenUsed/>
    <w:rsid w:val="00FD56E9"/>
    <w:rPr>
      <w:color w:val="800080" w:themeColor="followedHyperlink"/>
      <w:u w:val="single"/>
    </w:r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fejCharf2">
    <w:name w:val="Élőfej Char"/>
    <w:basedOn w:val="Fontdeparagrafimplicit"/>
    <w:uiPriority w:val="99"/>
    <w:rsid w:val="00176C72"/>
  </w:style>
  <w:style w:type="character" w:customStyle="1" w:styleId="llbCharf0">
    <w:name w:val="Élőláb Char"/>
    <w:basedOn w:val="Fontdeparagrafimplicit"/>
    <w:uiPriority w:val="99"/>
    <w:rsid w:val="00176C72"/>
  </w:style>
  <w:style w:type="paragraph" w:customStyle="1" w:styleId="Defaultf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d">
    <w:name w:val="Lábjegyzetszöveg Char"/>
    <w:basedOn w:val="Fontdeparagrafimplicit"/>
    <w:uiPriority w:val="99"/>
    <w:semiHidden/>
    <w:rsid w:val="00AC0320"/>
    <w:rPr>
      <w:sz w:val="20"/>
      <w:szCs w:val="20"/>
    </w:rPr>
  </w:style>
  <w:style w:type="character" w:customStyle="1" w:styleId="BuborkszvegChar8">
    <w:name w:val="Buborékszöveg Char"/>
    <w:basedOn w:val="Fontdeparagrafimplicit"/>
    <w:uiPriority w:val="99"/>
    <w:semiHidden/>
    <w:rsid w:val="00447776"/>
    <w:rPr>
      <w:rFonts w:ascii="Tahoma" w:hAnsi="Tahoma" w:cs="Tahoma"/>
      <w:sz w:val="16"/>
      <w:szCs w:val="16"/>
    </w:rPr>
  </w:style>
  <w:style w:type="character" w:customStyle="1" w:styleId="JegyzetszvegChar3">
    <w:name w:val="Jegyzetszöveg Char"/>
    <w:basedOn w:val="Fontdeparagrafimplicit"/>
    <w:uiPriority w:val="99"/>
    <w:semiHidden/>
    <w:rsid w:val="00982D65"/>
    <w:rPr>
      <w:sz w:val="20"/>
      <w:szCs w:val="20"/>
    </w:rPr>
  </w:style>
  <w:style w:type="character" w:customStyle="1" w:styleId="MegjegyzstrgyaChar1">
    <w:name w:val="Megjegyzés tárgya Char"/>
    <w:basedOn w:val="JegyzetszvegChar3"/>
    <w:uiPriority w:val="99"/>
    <w:semiHidden/>
    <w:rsid w:val="00982D65"/>
    <w:rPr>
      <w:b/>
      <w:bCs/>
      <w:sz w:val="20"/>
      <w:szCs w:val="20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ntetCaracter">
    <w:name w:val="Antet Caracter"/>
    <w:basedOn w:val="Fontdeparagrafimplicit"/>
    <w:link w:val="Antet"/>
    <w:uiPriority w:val="99"/>
    <w:rsid w:val="00176C72"/>
  </w:style>
  <w:style w:type="character" w:customStyle="1" w:styleId="SubsolCaracter">
    <w:name w:val="Subsol Caracter"/>
    <w:basedOn w:val="Fontdeparagrafimplicit"/>
    <w:link w:val="Subsol"/>
    <w:uiPriority w:val="99"/>
    <w:rsid w:val="00176C72"/>
  </w:style>
  <w:style w:type="paragraph" w:customStyle="1" w:styleId="Defaultf0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C0320"/>
    <w:rPr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776"/>
    <w:rPr>
      <w:rFonts w:ascii="Tahoma" w:hAnsi="Tahoma" w:cs="Tahoma"/>
      <w:sz w:val="16"/>
      <w:szCs w:val="16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82D65"/>
    <w:rPr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82D65"/>
    <w:rPr>
      <w:b/>
      <w:bCs/>
      <w:sz w:val="20"/>
      <w:szCs w:val="20"/>
    </w:rPr>
  </w:style>
  <w:style w:type="table" w:customStyle="1" w:styleId="a">
    <w:basedOn w:val="TableNormalf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f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f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f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f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rasmusmobility@wjlf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sley.hu/letoltes/szervezeti-es-mukodesi-szabalyzat-2020-szeptember-2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aoiLGg63r9+0QXDFGlGL6PnGA==">CgMxLjAaHwoBMBIaChgICVIUChJ0YWJsZS50anpmZTIxYjVva2wyCGguZ2pkZ3hzOAByITFzWmtwT2E0X0QyajFpdHRxeTMwUlZlOGFXUXgtN0IyeA==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1303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Bagdi Timea</dc:creator>
  <cp:lastModifiedBy>Michaela Szász</cp:lastModifiedBy>
  <cp:revision>4</cp:revision>
  <dcterms:created xsi:type="dcterms:W3CDTF">2024-11-05T12:09:00Z</dcterms:created>
  <dcterms:modified xsi:type="dcterms:W3CDTF">2024-11-05T12:36:00Z</dcterms:modified>
</cp:coreProperties>
</file>